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AEB" w:rsidRPr="00AC3A53" w:rsidRDefault="00A3533F" w:rsidP="00A3533F">
      <w:pPr>
        <w:pStyle w:val="Podtitul"/>
        <w:ind w:firstLine="0"/>
        <w:rPr>
          <w:rFonts w:cs="Arial"/>
          <w:b/>
          <w:sz w:val="40"/>
          <w:szCs w:val="48"/>
        </w:rPr>
      </w:pPr>
      <w:r w:rsidRPr="00AC3A53">
        <w:rPr>
          <w:rFonts w:cs="Arial"/>
          <w:b/>
          <w:sz w:val="40"/>
          <w:szCs w:val="48"/>
        </w:rPr>
        <w:t>TECHNICKÁ ZPRÁVA</w:t>
      </w:r>
    </w:p>
    <w:p w:rsidR="00715AEB" w:rsidRPr="00AC3A53" w:rsidRDefault="00715AEB">
      <w:pPr>
        <w:pStyle w:val="Nadpis3"/>
        <w:numPr>
          <w:ilvl w:val="0"/>
          <w:numId w:val="2"/>
        </w:numPr>
      </w:pPr>
      <w:bookmarkStart w:id="0" w:name="_Toc391298059"/>
      <w:r w:rsidRPr="00AC3A53">
        <w:t>Identifikační údaje stavby</w:t>
      </w:r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6"/>
        <w:gridCol w:w="6916"/>
      </w:tblGrid>
      <w:tr w:rsidR="00715AEB" w:rsidRPr="00AC3A53">
        <w:tc>
          <w:tcPr>
            <w:tcW w:w="2156" w:type="dxa"/>
          </w:tcPr>
          <w:p w:rsidR="00715AEB" w:rsidRPr="00AC3A53" w:rsidRDefault="00715AEB">
            <w:pPr>
              <w:pStyle w:val="Zkladntext"/>
              <w:spacing w:line="240" w:lineRule="auto"/>
              <w:ind w:firstLine="0"/>
            </w:pPr>
            <w:r w:rsidRPr="00AC3A53">
              <w:t>Název stavby:</w:t>
            </w:r>
          </w:p>
        </w:tc>
        <w:tc>
          <w:tcPr>
            <w:tcW w:w="6916" w:type="dxa"/>
          </w:tcPr>
          <w:p w:rsidR="00D256C8" w:rsidRPr="00AC3A53" w:rsidRDefault="00FE4A30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AC3A53">
              <w:rPr>
                <w:rFonts w:cs="Arial"/>
                <w:szCs w:val="24"/>
              </w:rPr>
              <w:t xml:space="preserve">Vyhotovení projektu PPK </w:t>
            </w:r>
            <w:r w:rsidR="001B024F" w:rsidRPr="00AC3A53">
              <w:rPr>
                <w:rFonts w:cs="Arial"/>
                <w:szCs w:val="24"/>
              </w:rPr>
              <w:t>na vybraných tratích SŽG Praha ve správě OŘ Hradec Králové</w:t>
            </w:r>
          </w:p>
          <w:p w:rsidR="00715AEB" w:rsidRPr="00AC3A53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AC3A53">
              <w:rPr>
                <w:rFonts w:cs="Arial"/>
                <w:szCs w:val="24"/>
              </w:rPr>
              <w:t xml:space="preserve">TÚ </w:t>
            </w:r>
            <w:r w:rsidR="00AC3A53" w:rsidRPr="00AC3A53">
              <w:rPr>
                <w:rFonts w:cs="Arial"/>
                <w:szCs w:val="24"/>
              </w:rPr>
              <w:t>167</w:t>
            </w:r>
            <w:r w:rsidR="004F4122" w:rsidRPr="00AC3A53">
              <w:rPr>
                <w:rFonts w:cs="Arial"/>
                <w:szCs w:val="24"/>
              </w:rPr>
              <w:t>1</w:t>
            </w:r>
            <w:r w:rsidRPr="00AC3A53">
              <w:rPr>
                <w:rFonts w:cs="Arial"/>
                <w:szCs w:val="24"/>
              </w:rPr>
              <w:t xml:space="preserve"> </w:t>
            </w:r>
            <w:r w:rsidR="00AC3A53" w:rsidRPr="00AC3A53">
              <w:rPr>
                <w:rFonts w:cs="Arial"/>
                <w:szCs w:val="24"/>
              </w:rPr>
              <w:t xml:space="preserve">Liberec - </w:t>
            </w:r>
            <w:proofErr w:type="spellStart"/>
            <w:r w:rsidR="00AC3A53" w:rsidRPr="00AC3A53">
              <w:rPr>
                <w:rFonts w:cs="Arial"/>
                <w:szCs w:val="24"/>
              </w:rPr>
              <w:t>Poreba</w:t>
            </w:r>
            <w:proofErr w:type="spellEnd"/>
          </w:p>
          <w:p w:rsidR="00715AEB" w:rsidRPr="00AC3A53" w:rsidRDefault="0073354F" w:rsidP="00AC3A53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AC3A53">
              <w:rPr>
                <w:rFonts w:cs="Arial"/>
                <w:szCs w:val="24"/>
              </w:rPr>
              <w:t>1</w:t>
            </w:r>
            <w:r w:rsidR="000D70DD" w:rsidRPr="00AC3A53">
              <w:rPr>
                <w:rFonts w:cs="Arial"/>
                <w:szCs w:val="24"/>
              </w:rPr>
              <w:t xml:space="preserve">. kolej v </w:t>
            </w:r>
            <w:r w:rsidR="002D40CD" w:rsidRPr="00AC3A53">
              <w:rPr>
                <w:rFonts w:cs="Arial"/>
                <w:szCs w:val="24"/>
              </w:rPr>
              <w:t xml:space="preserve">km </w:t>
            </w:r>
            <w:r w:rsidR="00AC3A53" w:rsidRPr="00AC3A53">
              <w:rPr>
                <w:rFonts w:cs="Arial"/>
                <w:szCs w:val="24"/>
              </w:rPr>
              <w:t>27</w:t>
            </w:r>
            <w:r w:rsidR="004F4122" w:rsidRPr="00AC3A53">
              <w:rPr>
                <w:rFonts w:cs="Arial"/>
                <w:szCs w:val="24"/>
              </w:rPr>
              <w:t>.</w:t>
            </w:r>
            <w:r w:rsidR="00AC3A53" w:rsidRPr="00AC3A53">
              <w:rPr>
                <w:rFonts w:cs="Arial"/>
                <w:szCs w:val="24"/>
              </w:rPr>
              <w:t>6 – km 36</w:t>
            </w:r>
            <w:r w:rsidR="004F4122" w:rsidRPr="00AC3A53">
              <w:rPr>
                <w:rFonts w:cs="Arial"/>
                <w:szCs w:val="24"/>
              </w:rPr>
              <w:t>.</w:t>
            </w:r>
            <w:r w:rsidR="00AC3A53" w:rsidRPr="00AC3A53">
              <w:rPr>
                <w:rFonts w:cs="Arial"/>
                <w:szCs w:val="24"/>
              </w:rPr>
              <w:t xml:space="preserve">0, km 37.4 – km 38.6, </w:t>
            </w:r>
            <w:r w:rsidR="00AC3A53" w:rsidRPr="00AC3A53">
              <w:rPr>
                <w:rFonts w:cs="Arial"/>
                <w:szCs w:val="24"/>
              </w:rPr>
              <w:br/>
              <w:t>km 39.3 – km 40.1</w:t>
            </w:r>
            <w:r w:rsidR="00AC3A53" w:rsidRPr="00AC3A53">
              <w:rPr>
                <w:rFonts w:cs="Arial"/>
                <w:szCs w:val="24"/>
              </w:rPr>
              <w:br/>
            </w:r>
            <w:r w:rsidR="000D70DD" w:rsidRPr="00AC3A53">
              <w:t xml:space="preserve"> </w:t>
            </w:r>
          </w:p>
        </w:tc>
      </w:tr>
      <w:tr w:rsidR="00715AEB" w:rsidRPr="00AC3A53">
        <w:tc>
          <w:tcPr>
            <w:tcW w:w="2156" w:type="dxa"/>
          </w:tcPr>
          <w:p w:rsidR="00715AEB" w:rsidRPr="00C1125B" w:rsidRDefault="00715AEB">
            <w:pPr>
              <w:pStyle w:val="Zkladntext"/>
              <w:spacing w:line="240" w:lineRule="auto"/>
              <w:ind w:firstLine="0"/>
            </w:pPr>
            <w:r w:rsidRPr="00C1125B">
              <w:t>Druh stavby:</w:t>
            </w:r>
          </w:p>
        </w:tc>
        <w:tc>
          <w:tcPr>
            <w:tcW w:w="6916" w:type="dxa"/>
          </w:tcPr>
          <w:p w:rsidR="00715AEB" w:rsidRPr="00C1125B" w:rsidRDefault="00715AEB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C1125B">
              <w:rPr>
                <w:rFonts w:cs="Arial"/>
                <w:szCs w:val="24"/>
              </w:rPr>
              <w:t>Směrová a výšková úprava geometrické polohy koleje</w:t>
            </w:r>
          </w:p>
        </w:tc>
      </w:tr>
      <w:tr w:rsidR="00715AEB" w:rsidRPr="00AC3A53">
        <w:tc>
          <w:tcPr>
            <w:tcW w:w="2156" w:type="dxa"/>
          </w:tcPr>
          <w:p w:rsidR="00715AEB" w:rsidRPr="00C1125B" w:rsidRDefault="00715AEB">
            <w:pPr>
              <w:pStyle w:val="Zkladntext"/>
              <w:spacing w:line="240" w:lineRule="auto"/>
              <w:ind w:firstLine="0"/>
            </w:pPr>
            <w:r w:rsidRPr="00C1125B">
              <w:t>Místo stavby:</w:t>
            </w:r>
          </w:p>
        </w:tc>
        <w:tc>
          <w:tcPr>
            <w:tcW w:w="6916" w:type="dxa"/>
          </w:tcPr>
          <w:p w:rsidR="00A41D32" w:rsidRPr="00C1125B" w:rsidRDefault="00B55A82" w:rsidP="00B55A82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C1125B">
              <w:rPr>
                <w:rFonts w:cs="Arial"/>
                <w:szCs w:val="24"/>
              </w:rPr>
              <w:t xml:space="preserve">Kraj </w:t>
            </w:r>
            <w:hyperlink r:id="rId5" w:history="1">
              <w:r w:rsidRPr="00C1125B">
                <w:rPr>
                  <w:szCs w:val="24"/>
                </w:rPr>
                <w:t>Liberecký</w:t>
              </w:r>
            </w:hyperlink>
            <w:r w:rsidR="003253AE" w:rsidRPr="00C1125B">
              <w:rPr>
                <w:rFonts w:cs="Arial"/>
                <w:szCs w:val="24"/>
              </w:rPr>
              <w:t xml:space="preserve">; </w:t>
            </w:r>
            <w:r w:rsidR="00715AEB" w:rsidRPr="00C1125B">
              <w:rPr>
                <w:rFonts w:cs="Arial"/>
                <w:szCs w:val="24"/>
              </w:rPr>
              <w:t xml:space="preserve">okres </w:t>
            </w:r>
            <w:hyperlink r:id="rId6" w:history="1">
              <w:r w:rsidR="00C1125B" w:rsidRPr="00C1125B">
                <w:rPr>
                  <w:szCs w:val="24"/>
                </w:rPr>
                <w:t>Jablonec nad Nisou</w:t>
              </w:r>
            </w:hyperlink>
          </w:p>
        </w:tc>
      </w:tr>
      <w:tr w:rsidR="001B024F" w:rsidRPr="00AC3A53">
        <w:tc>
          <w:tcPr>
            <w:tcW w:w="2156" w:type="dxa"/>
          </w:tcPr>
          <w:p w:rsidR="001B024F" w:rsidRPr="00C1125B" w:rsidRDefault="001B024F">
            <w:pPr>
              <w:pStyle w:val="Zkladntext"/>
              <w:spacing w:line="240" w:lineRule="auto"/>
              <w:ind w:firstLine="0"/>
            </w:pPr>
            <w:r w:rsidRPr="00C1125B">
              <w:t>Investor:</w:t>
            </w:r>
          </w:p>
        </w:tc>
        <w:tc>
          <w:tcPr>
            <w:tcW w:w="6916" w:type="dxa"/>
          </w:tcPr>
          <w:p w:rsidR="001B024F" w:rsidRPr="00C1125B" w:rsidRDefault="001B024F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C1125B">
              <w:rPr>
                <w:rFonts w:cs="Arial"/>
                <w:szCs w:val="24"/>
              </w:rPr>
              <w:t xml:space="preserve">Správa železniční dopravní cesty, </w:t>
            </w:r>
            <w:proofErr w:type="gramStart"/>
            <w:r w:rsidRPr="00C1125B">
              <w:rPr>
                <w:rFonts w:cs="Arial"/>
                <w:szCs w:val="24"/>
              </w:rPr>
              <w:t>s.o.</w:t>
            </w:r>
            <w:proofErr w:type="gramEnd"/>
          </w:p>
          <w:p w:rsidR="001B024F" w:rsidRPr="00C1125B" w:rsidRDefault="001B024F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bookmarkStart w:id="1" w:name="OLE_LINK1"/>
            <w:r w:rsidRPr="00C1125B">
              <w:rPr>
                <w:rFonts w:cs="Arial"/>
                <w:szCs w:val="24"/>
              </w:rPr>
              <w:t>Správa železniční geodézie Praha</w:t>
            </w:r>
            <w:bookmarkEnd w:id="1"/>
          </w:p>
          <w:p w:rsidR="001B024F" w:rsidRPr="00C1125B" w:rsidRDefault="001B024F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C1125B">
              <w:rPr>
                <w:rFonts w:cs="Arial"/>
                <w:szCs w:val="24"/>
              </w:rPr>
              <w:t>Pod Výtopnou 645/8</w:t>
            </w:r>
          </w:p>
          <w:p w:rsidR="001B024F" w:rsidRPr="00C1125B" w:rsidRDefault="001B024F" w:rsidP="00E36CB1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C1125B">
              <w:rPr>
                <w:rFonts w:cs="Arial"/>
                <w:szCs w:val="24"/>
              </w:rPr>
              <w:t>186 00  Praha 8</w:t>
            </w:r>
          </w:p>
        </w:tc>
      </w:tr>
      <w:tr w:rsidR="001B024F" w:rsidRPr="00AC3A53">
        <w:tc>
          <w:tcPr>
            <w:tcW w:w="2156" w:type="dxa"/>
          </w:tcPr>
          <w:p w:rsidR="001B024F" w:rsidRPr="00C1125B" w:rsidRDefault="001B024F">
            <w:pPr>
              <w:pStyle w:val="Zkladntext"/>
              <w:spacing w:line="240" w:lineRule="auto"/>
              <w:ind w:firstLine="0"/>
            </w:pPr>
            <w:r w:rsidRPr="00C1125B">
              <w:t>Pracoviště:</w:t>
            </w:r>
          </w:p>
        </w:tc>
        <w:tc>
          <w:tcPr>
            <w:tcW w:w="6916" w:type="dxa"/>
          </w:tcPr>
          <w:p w:rsidR="001B024F" w:rsidRPr="00C1125B" w:rsidRDefault="001B024F" w:rsidP="00AB7357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C1125B">
              <w:rPr>
                <w:rFonts w:cs="Arial"/>
                <w:szCs w:val="24"/>
              </w:rPr>
              <w:t>Regionální pracoviště Pardubice</w:t>
            </w:r>
          </w:p>
        </w:tc>
      </w:tr>
      <w:tr w:rsidR="001B024F" w:rsidRPr="00AC3A53">
        <w:tc>
          <w:tcPr>
            <w:tcW w:w="2156" w:type="dxa"/>
          </w:tcPr>
          <w:p w:rsidR="001B024F" w:rsidRPr="00C1125B" w:rsidRDefault="001B024F">
            <w:pPr>
              <w:pStyle w:val="Zkladntext"/>
              <w:spacing w:line="240" w:lineRule="auto"/>
              <w:ind w:firstLine="0"/>
            </w:pPr>
            <w:r w:rsidRPr="00C1125B">
              <w:t>Projektant:</w:t>
            </w:r>
          </w:p>
        </w:tc>
        <w:tc>
          <w:tcPr>
            <w:tcW w:w="6916" w:type="dxa"/>
          </w:tcPr>
          <w:p w:rsidR="001B024F" w:rsidRPr="00C1125B" w:rsidRDefault="001B024F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C1125B">
              <w:rPr>
                <w:rFonts w:cs="Arial"/>
                <w:szCs w:val="24"/>
              </w:rPr>
              <w:t>SAGASTA, s.r.o.</w:t>
            </w:r>
          </w:p>
          <w:p w:rsidR="001B024F" w:rsidRPr="00C1125B" w:rsidRDefault="001B024F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C1125B">
              <w:rPr>
                <w:rFonts w:cs="Arial"/>
                <w:szCs w:val="24"/>
              </w:rPr>
              <w:t>Novodvorská 1010/14, Lhotka, 142 00 Praha 4</w:t>
            </w:r>
          </w:p>
          <w:p w:rsidR="001B024F" w:rsidRPr="00C1125B" w:rsidRDefault="001B024F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C1125B">
              <w:rPr>
                <w:rFonts w:cs="Arial"/>
                <w:szCs w:val="24"/>
              </w:rPr>
              <w:t>IČO  045 98 555</w:t>
            </w:r>
          </w:p>
          <w:p w:rsidR="001B024F" w:rsidRPr="00C1125B" w:rsidRDefault="001B024F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C1125B">
              <w:rPr>
                <w:rFonts w:cs="Arial"/>
                <w:szCs w:val="24"/>
              </w:rPr>
              <w:t>DIČ  CZ 04598555</w:t>
            </w:r>
          </w:p>
          <w:p w:rsidR="001B024F" w:rsidRPr="00C1125B" w:rsidRDefault="001B024F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</w:p>
        </w:tc>
      </w:tr>
      <w:tr w:rsidR="001B024F" w:rsidRPr="00AC3A53">
        <w:tc>
          <w:tcPr>
            <w:tcW w:w="2156" w:type="dxa"/>
          </w:tcPr>
          <w:p w:rsidR="001B024F" w:rsidRPr="00C1125B" w:rsidRDefault="001B024F">
            <w:pPr>
              <w:pStyle w:val="Zkladntext"/>
              <w:spacing w:line="240" w:lineRule="auto"/>
              <w:ind w:firstLine="0"/>
            </w:pPr>
            <w:r w:rsidRPr="00C1125B">
              <w:t>Stupeň PD:</w:t>
            </w:r>
          </w:p>
        </w:tc>
        <w:tc>
          <w:tcPr>
            <w:tcW w:w="6916" w:type="dxa"/>
          </w:tcPr>
          <w:p w:rsidR="001B024F" w:rsidRPr="00C1125B" w:rsidRDefault="001B024F" w:rsidP="00A41D32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C1125B">
              <w:rPr>
                <w:rFonts w:cs="Arial"/>
                <w:szCs w:val="24"/>
              </w:rPr>
              <w:t>Technický projekt</w:t>
            </w:r>
          </w:p>
        </w:tc>
      </w:tr>
      <w:tr w:rsidR="001B024F" w:rsidRPr="00AC3A53">
        <w:tc>
          <w:tcPr>
            <w:tcW w:w="2156" w:type="dxa"/>
          </w:tcPr>
          <w:p w:rsidR="001B024F" w:rsidRPr="00C1125B" w:rsidRDefault="001B024F">
            <w:pPr>
              <w:pStyle w:val="Zkladntext"/>
              <w:spacing w:line="240" w:lineRule="auto"/>
              <w:ind w:firstLine="0"/>
            </w:pPr>
            <w:r w:rsidRPr="00C1125B">
              <w:t>Předpokládaný termín realizace:</w:t>
            </w:r>
          </w:p>
        </w:tc>
        <w:tc>
          <w:tcPr>
            <w:tcW w:w="6916" w:type="dxa"/>
          </w:tcPr>
          <w:p w:rsidR="001B024F" w:rsidRPr="00C1125B" w:rsidRDefault="001B024F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</w:rPr>
            </w:pPr>
            <w:r w:rsidRPr="00C1125B">
              <w:rPr>
                <w:rFonts w:cs="Arial"/>
                <w:szCs w:val="24"/>
              </w:rPr>
              <w:t>-</w:t>
            </w:r>
          </w:p>
        </w:tc>
      </w:tr>
      <w:tr w:rsidR="001B024F" w:rsidRPr="00AC3A53">
        <w:tc>
          <w:tcPr>
            <w:tcW w:w="2156" w:type="dxa"/>
          </w:tcPr>
          <w:p w:rsidR="001B024F" w:rsidRPr="00AC3A53" w:rsidRDefault="001B024F">
            <w:pPr>
              <w:pStyle w:val="Zkladntext"/>
              <w:spacing w:line="240" w:lineRule="auto"/>
              <w:ind w:firstLine="0"/>
              <w:rPr>
                <w:highlight w:val="yellow"/>
              </w:rPr>
            </w:pPr>
          </w:p>
        </w:tc>
        <w:tc>
          <w:tcPr>
            <w:tcW w:w="6916" w:type="dxa"/>
          </w:tcPr>
          <w:p w:rsidR="001B024F" w:rsidRPr="00AC3A53" w:rsidRDefault="001B024F" w:rsidP="00A41D32">
            <w:pPr>
              <w:pStyle w:val="Zkladntext31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cs="Arial"/>
                <w:szCs w:val="24"/>
                <w:highlight w:val="yellow"/>
              </w:rPr>
            </w:pPr>
          </w:p>
        </w:tc>
      </w:tr>
    </w:tbl>
    <w:p w:rsidR="00715AEB" w:rsidRPr="00AC3A53" w:rsidRDefault="00715AEB">
      <w:pPr>
        <w:rPr>
          <w:b/>
          <w:highlight w:val="yellow"/>
        </w:rPr>
      </w:pPr>
    </w:p>
    <w:p w:rsidR="00715AEB" w:rsidRPr="00C1125B" w:rsidRDefault="00715AEB">
      <w:pPr>
        <w:pStyle w:val="Nadpis3"/>
        <w:numPr>
          <w:ilvl w:val="0"/>
          <w:numId w:val="2"/>
        </w:numPr>
      </w:pPr>
      <w:r w:rsidRPr="00AC3A53">
        <w:rPr>
          <w:b w:val="0"/>
          <w:highlight w:val="yellow"/>
        </w:rPr>
        <w:br w:type="page"/>
      </w:r>
      <w:r w:rsidRPr="00C1125B">
        <w:lastRenderedPageBreak/>
        <w:t>Úvod</w:t>
      </w:r>
    </w:p>
    <w:p w:rsidR="00715AEB" w:rsidRPr="00C1125B" w:rsidRDefault="00715AEB" w:rsidP="0017443E">
      <w:pPr>
        <w:pStyle w:val="Zkladntext"/>
        <w:jc w:val="both"/>
      </w:pPr>
      <w:r w:rsidRPr="00C1125B">
        <w:t xml:space="preserve">Projekt prostorové polohy koleje pro předmětný traťový úsek byl zpracován na základě Smlouvy o dílo č. </w:t>
      </w:r>
      <w:r w:rsidR="001B024F" w:rsidRPr="00C1125B">
        <w:t>119.064</w:t>
      </w:r>
      <w:r w:rsidR="0074170A" w:rsidRPr="00C1125B">
        <w:t>.</w:t>
      </w:r>
    </w:p>
    <w:p w:rsidR="00715AEB" w:rsidRPr="00C1125B" w:rsidRDefault="00715AEB" w:rsidP="0017443E">
      <w:pPr>
        <w:pStyle w:val="Zkladntext"/>
        <w:jc w:val="both"/>
      </w:pPr>
      <w:r w:rsidRPr="00C1125B">
        <w:t xml:space="preserve">Základním podkladem pro zpracování projektu bylo geodetické zaměření stávajícího stavu, </w:t>
      </w:r>
      <w:r w:rsidR="00BD2595" w:rsidRPr="00C1125B">
        <w:t xml:space="preserve">které </w:t>
      </w:r>
      <w:r w:rsidRPr="00C1125B">
        <w:t>byl</w:t>
      </w:r>
      <w:r w:rsidR="00BD2595" w:rsidRPr="00C1125B">
        <w:t>o předáno</w:t>
      </w:r>
      <w:r w:rsidRPr="00C1125B">
        <w:t xml:space="preserve"> v elektronické formě společně s ostatními podklady po podpisu Smlouvy o dílo.</w:t>
      </w:r>
    </w:p>
    <w:p w:rsidR="00715AEB" w:rsidRPr="0058616C" w:rsidRDefault="00715AEB" w:rsidP="0017443E">
      <w:pPr>
        <w:pStyle w:val="Zkladntext"/>
        <w:jc w:val="both"/>
      </w:pPr>
      <w:r w:rsidRPr="0058616C">
        <w:t xml:space="preserve">Technický projekt byl vypracován na základě Pokynu pro zpracování projektů PPK vydaného Správou železniční geodézie Praha v roce </w:t>
      </w:r>
      <w:r w:rsidR="00DF12FE" w:rsidRPr="0058616C">
        <w:t>2014</w:t>
      </w:r>
      <w:r w:rsidR="0017443E" w:rsidRPr="0058616C">
        <w:t xml:space="preserve"> a upřesňujících požadavků </w:t>
      </w:r>
      <w:r w:rsidR="00AB7357" w:rsidRPr="0058616C">
        <w:t xml:space="preserve">v zadávací dokumentaci a požadavků z </w:t>
      </w:r>
      <w:r w:rsidR="00195E1A" w:rsidRPr="0058616C">
        <w:t xml:space="preserve">pracovních </w:t>
      </w:r>
      <w:r w:rsidR="0017443E" w:rsidRPr="0058616C">
        <w:t>jednání</w:t>
      </w:r>
      <w:r w:rsidR="00AB7357" w:rsidRPr="0058616C">
        <w:t xml:space="preserve"> nebo konzultací</w:t>
      </w:r>
      <w:r w:rsidR="0017443E" w:rsidRPr="0058616C">
        <w:t>.</w:t>
      </w:r>
    </w:p>
    <w:p w:rsidR="00C4216A" w:rsidRPr="00AC3A53" w:rsidRDefault="00C4216A" w:rsidP="005644ED">
      <w:pPr>
        <w:pStyle w:val="Zkladntext"/>
        <w:ind w:firstLine="0"/>
        <w:jc w:val="both"/>
        <w:rPr>
          <w:highlight w:val="yellow"/>
        </w:rPr>
      </w:pPr>
    </w:p>
    <w:p w:rsidR="00715AEB" w:rsidRPr="0058616C" w:rsidRDefault="00715AEB">
      <w:pPr>
        <w:pStyle w:val="Nadpis3"/>
        <w:numPr>
          <w:ilvl w:val="0"/>
          <w:numId w:val="2"/>
        </w:numPr>
      </w:pPr>
      <w:r w:rsidRPr="0058616C">
        <w:t>Použité podklady</w:t>
      </w:r>
    </w:p>
    <w:p w:rsidR="00715AEB" w:rsidRPr="0058616C" w:rsidRDefault="00715AEB">
      <w:pPr>
        <w:pStyle w:val="Zkladntext"/>
        <w:numPr>
          <w:ilvl w:val="0"/>
          <w:numId w:val="4"/>
        </w:numPr>
      </w:pPr>
      <w:r w:rsidRPr="0058616C">
        <w:t>geodetické zaměření stávajícího stavu</w:t>
      </w:r>
      <w:r w:rsidR="006666ED" w:rsidRPr="0058616C">
        <w:t xml:space="preserve"> SŽG</w:t>
      </w:r>
      <w:r w:rsidR="006B59BF" w:rsidRPr="0058616C">
        <w:t xml:space="preserve"> </w:t>
      </w:r>
    </w:p>
    <w:p w:rsidR="00715AEB" w:rsidRPr="0058616C" w:rsidRDefault="00715AEB">
      <w:pPr>
        <w:pStyle w:val="Zkladntext"/>
        <w:numPr>
          <w:ilvl w:val="0"/>
          <w:numId w:val="4"/>
        </w:numPr>
      </w:pPr>
      <w:r w:rsidRPr="0058616C">
        <w:t xml:space="preserve">nákresné přehledy </w:t>
      </w:r>
    </w:p>
    <w:p w:rsidR="00715AEB" w:rsidRPr="0058616C" w:rsidRDefault="00715AEB">
      <w:pPr>
        <w:pStyle w:val="Zkladntext"/>
        <w:numPr>
          <w:ilvl w:val="0"/>
          <w:numId w:val="4"/>
        </w:numPr>
      </w:pPr>
      <w:r w:rsidRPr="0058616C">
        <w:t>schémata železničních stanic</w:t>
      </w:r>
    </w:p>
    <w:p w:rsidR="00715AEB" w:rsidRPr="0058616C" w:rsidRDefault="00715AEB">
      <w:pPr>
        <w:pStyle w:val="Zkladntext"/>
        <w:numPr>
          <w:ilvl w:val="0"/>
          <w:numId w:val="4"/>
        </w:numPr>
      </w:pPr>
      <w:r w:rsidRPr="0058616C">
        <w:t>tabulky výhybek</w:t>
      </w:r>
      <w:r w:rsidR="008B63F2" w:rsidRPr="0058616C">
        <w:t xml:space="preserve"> </w:t>
      </w:r>
      <w:r w:rsidR="00D710D0" w:rsidRPr="0058616C">
        <w:t>v </w:t>
      </w:r>
      <w:r w:rsidR="001B024F" w:rsidRPr="0058616C">
        <w:t>dopravnách</w:t>
      </w:r>
    </w:p>
    <w:p w:rsidR="00715AEB" w:rsidRPr="0058616C" w:rsidRDefault="00715AEB">
      <w:pPr>
        <w:pStyle w:val="Zkladntext"/>
        <w:numPr>
          <w:ilvl w:val="0"/>
          <w:numId w:val="4"/>
        </w:numPr>
      </w:pPr>
      <w:r w:rsidRPr="0058616C">
        <w:t>seznam železničních přejezdů</w:t>
      </w:r>
      <w:r w:rsidR="00D710D0" w:rsidRPr="0058616C">
        <w:t xml:space="preserve"> se základními parametry</w:t>
      </w:r>
    </w:p>
    <w:p w:rsidR="00715AEB" w:rsidRPr="0058616C" w:rsidRDefault="00715AEB">
      <w:pPr>
        <w:pStyle w:val="Zkladntext"/>
        <w:numPr>
          <w:ilvl w:val="0"/>
          <w:numId w:val="4"/>
        </w:numPr>
      </w:pPr>
      <w:r w:rsidRPr="0058616C">
        <w:t xml:space="preserve">seznam </w:t>
      </w:r>
      <w:r w:rsidR="00BD2092" w:rsidRPr="0058616C">
        <w:t xml:space="preserve">železničních </w:t>
      </w:r>
      <w:r w:rsidRPr="0058616C">
        <w:t>mostů a propustků</w:t>
      </w:r>
      <w:r w:rsidR="00D710D0" w:rsidRPr="0058616C">
        <w:t xml:space="preserve"> se základními údaji</w:t>
      </w:r>
    </w:p>
    <w:p w:rsidR="00195E1A" w:rsidRPr="009C002A" w:rsidRDefault="004F4122">
      <w:pPr>
        <w:pStyle w:val="Zkladntext"/>
        <w:numPr>
          <w:ilvl w:val="0"/>
          <w:numId w:val="4"/>
        </w:numPr>
      </w:pPr>
      <w:r w:rsidRPr="009C002A">
        <w:t>stávající projekty</w:t>
      </w:r>
    </w:p>
    <w:p w:rsidR="00C4216A" w:rsidRPr="009C002A" w:rsidRDefault="001B024F" w:rsidP="00F82235">
      <w:pPr>
        <w:pStyle w:val="Zkladntext"/>
        <w:numPr>
          <w:ilvl w:val="0"/>
          <w:numId w:val="11"/>
        </w:numPr>
        <w:tabs>
          <w:tab w:val="clear" w:pos="720"/>
        </w:tabs>
        <w:ind w:left="993" w:hanging="284"/>
      </w:pPr>
      <w:r w:rsidRPr="009C002A">
        <w:t>P</w:t>
      </w:r>
      <w:r w:rsidR="0001022C" w:rsidRPr="009C002A">
        <w:t>rojekt</w:t>
      </w:r>
      <w:r w:rsidRPr="009C002A">
        <w:t xml:space="preserve"> </w:t>
      </w:r>
      <w:r w:rsidR="009C002A" w:rsidRPr="009C002A">
        <w:t>Rekonstrukce Harrachovského tunelu trati Liberec - Harrachov</w:t>
      </w:r>
    </w:p>
    <w:p w:rsidR="004F4122" w:rsidRPr="009C002A" w:rsidRDefault="009C002A" w:rsidP="004F4122">
      <w:pPr>
        <w:pStyle w:val="Zkladntext"/>
        <w:ind w:left="993" w:firstLine="0"/>
      </w:pPr>
      <w:r w:rsidRPr="009C002A">
        <w:t xml:space="preserve">SO </w:t>
      </w:r>
      <w:r w:rsidR="004F4122" w:rsidRPr="009C002A">
        <w:t>2</w:t>
      </w:r>
      <w:r w:rsidRPr="009C002A">
        <w:t>01.1 -</w:t>
      </w:r>
      <w:r w:rsidR="004F4122" w:rsidRPr="009C002A">
        <w:t xml:space="preserve"> Ž</w:t>
      </w:r>
      <w:r w:rsidRPr="009C002A">
        <w:t>elezniční svršek</w:t>
      </w:r>
    </w:p>
    <w:p w:rsidR="00465EDA" w:rsidRDefault="00465EDA" w:rsidP="00443006">
      <w:pPr>
        <w:pStyle w:val="Zkladntext"/>
        <w:numPr>
          <w:ilvl w:val="0"/>
          <w:numId w:val="11"/>
        </w:numPr>
        <w:tabs>
          <w:tab w:val="clear" w:pos="720"/>
        </w:tabs>
        <w:ind w:left="993" w:hanging="284"/>
      </w:pPr>
      <w:r w:rsidRPr="009C002A">
        <w:t xml:space="preserve">Projekt </w:t>
      </w:r>
      <w:r w:rsidR="009C002A" w:rsidRPr="009C002A">
        <w:t xml:space="preserve">Zřízení výhybny Harrachov SO 03-10-01 dopravna D3 Harrachov, </w:t>
      </w:r>
      <w:r w:rsidR="009C002A" w:rsidRPr="009C002A">
        <w:br/>
        <w:t xml:space="preserve">železniční svršek,  SO 03-11-01 dopravna D3 Harrachov, </w:t>
      </w:r>
      <w:r w:rsidR="009C002A" w:rsidRPr="009C002A">
        <w:br/>
        <w:t>železniční spodek</w:t>
      </w:r>
    </w:p>
    <w:p w:rsidR="000C5FB0" w:rsidRDefault="000C5FB0" w:rsidP="00443006">
      <w:pPr>
        <w:pStyle w:val="Zkladntext"/>
        <w:numPr>
          <w:ilvl w:val="0"/>
          <w:numId w:val="11"/>
        </w:numPr>
        <w:tabs>
          <w:tab w:val="clear" w:pos="720"/>
        </w:tabs>
        <w:ind w:left="993" w:hanging="284"/>
      </w:pPr>
      <w:r>
        <w:t xml:space="preserve">Projekt </w:t>
      </w:r>
      <w:r w:rsidRPr="000C5FB0">
        <w:t>Rekonstrukce trati Liberec-Tanvald</w:t>
      </w:r>
    </w:p>
    <w:p w:rsidR="000C5FB0" w:rsidRPr="009C002A" w:rsidRDefault="000C5FB0" w:rsidP="000C5FB0">
      <w:pPr>
        <w:pStyle w:val="Zkladntext"/>
        <w:ind w:left="993" w:firstLine="0"/>
      </w:pPr>
    </w:p>
    <w:p w:rsidR="0012124D" w:rsidRPr="00AC3A53" w:rsidRDefault="0012124D" w:rsidP="0012124D">
      <w:pPr>
        <w:pStyle w:val="Zkladntext"/>
        <w:ind w:left="993" w:firstLine="0"/>
        <w:rPr>
          <w:highlight w:val="yellow"/>
        </w:rPr>
      </w:pPr>
    </w:p>
    <w:p w:rsidR="00715AEB" w:rsidRPr="0058616C" w:rsidRDefault="00715AEB">
      <w:pPr>
        <w:pStyle w:val="Nadpis3"/>
        <w:numPr>
          <w:ilvl w:val="0"/>
          <w:numId w:val="2"/>
        </w:numPr>
      </w:pPr>
      <w:r w:rsidRPr="0058616C">
        <w:lastRenderedPageBreak/>
        <w:t>Použité bodové pole</w:t>
      </w:r>
    </w:p>
    <w:p w:rsidR="00C4216A" w:rsidRPr="0058616C" w:rsidRDefault="00715AEB" w:rsidP="00465EDA">
      <w:pPr>
        <w:pStyle w:val="Zkladntext"/>
        <w:jc w:val="both"/>
      </w:pPr>
      <w:r w:rsidRPr="0058616C">
        <w:t xml:space="preserve">Bodové pole v zájmovém úseku trati odpovídá TKP, využívá souřadný systém </w:t>
      </w:r>
      <w:r w:rsidR="00BD5B56" w:rsidRPr="0058616C">
        <w:t>S-</w:t>
      </w:r>
      <w:r w:rsidRPr="0058616C">
        <w:t>JTSK a výškový systém Bpv. Místopisné a ostatní geodetické údaje o bodovém poli byly za účelem aktualizace zaměření stávajícího stavu předány společně s ostatními podklady po podpisu Smlouvy o dílo.</w:t>
      </w:r>
    </w:p>
    <w:p w:rsidR="00FF1B25" w:rsidRPr="002F0D16" w:rsidRDefault="00FF1B25" w:rsidP="00FF1B25">
      <w:pPr>
        <w:pStyle w:val="Nadpis3"/>
        <w:numPr>
          <w:ilvl w:val="0"/>
          <w:numId w:val="2"/>
        </w:numPr>
      </w:pPr>
      <w:r w:rsidRPr="002F0D16">
        <w:t>Stávající stav</w:t>
      </w:r>
    </w:p>
    <w:p w:rsidR="0017443E" w:rsidRPr="002F0D16" w:rsidRDefault="00FF1B25" w:rsidP="0018208A">
      <w:pPr>
        <w:pStyle w:val="Zkladntext"/>
        <w:jc w:val="both"/>
      </w:pPr>
      <w:r w:rsidRPr="002F0D16">
        <w:t>Předmětem řešení j</w:t>
      </w:r>
      <w:r w:rsidR="002F0D16" w:rsidRPr="002F0D16">
        <w:t xml:space="preserve">e TÚ 1671 Liberec - </w:t>
      </w:r>
      <w:proofErr w:type="spellStart"/>
      <w:r w:rsidR="002F0D16" w:rsidRPr="002F0D16">
        <w:t>Poreba</w:t>
      </w:r>
      <w:proofErr w:type="spellEnd"/>
      <w:r w:rsidR="00D01552" w:rsidRPr="002F0D16">
        <w:t xml:space="preserve"> </w:t>
      </w:r>
      <w:r w:rsidR="007F6524" w:rsidRPr="002F0D16">
        <w:t xml:space="preserve">v km </w:t>
      </w:r>
      <w:r w:rsidR="002F0D16" w:rsidRPr="002F0D16">
        <w:t xml:space="preserve">27.6 – km 36.0, </w:t>
      </w:r>
      <w:r w:rsidR="002F0D16">
        <w:br/>
      </w:r>
      <w:r w:rsidR="002F0D16" w:rsidRPr="002F0D16">
        <w:t>km 37.4</w:t>
      </w:r>
      <w:r w:rsidR="002F0D16">
        <w:t xml:space="preserve"> </w:t>
      </w:r>
      <w:r w:rsidR="002F0D16" w:rsidRPr="002F0D16">
        <w:t>–</w:t>
      </w:r>
      <w:r w:rsidR="002F0D16">
        <w:t> </w:t>
      </w:r>
      <w:r w:rsidR="002F0D16" w:rsidRPr="002F0D16">
        <w:t>km</w:t>
      </w:r>
      <w:r w:rsidR="002F0D16">
        <w:t> </w:t>
      </w:r>
      <w:r w:rsidR="002F0D16" w:rsidRPr="002F0D16">
        <w:t>38.6,</w:t>
      </w:r>
      <w:r w:rsidR="002F0D16">
        <w:t xml:space="preserve"> </w:t>
      </w:r>
      <w:r w:rsidR="002F0D16" w:rsidRPr="002F0D16">
        <w:t>km 39.3 – km 40.1</w:t>
      </w:r>
      <w:r w:rsidR="000B1BBC" w:rsidRPr="002F0D16">
        <w:t>0,7</w:t>
      </w:r>
      <w:r w:rsidR="00320021" w:rsidRPr="002F0D16">
        <w:t xml:space="preserve"> </w:t>
      </w:r>
      <w:r w:rsidR="007F6524" w:rsidRPr="002F0D16">
        <w:t xml:space="preserve">– </w:t>
      </w:r>
      <w:r w:rsidR="000B1BBC" w:rsidRPr="002F0D16">
        <w:t>15,6</w:t>
      </w:r>
      <w:r w:rsidR="00F62001" w:rsidRPr="002F0D16">
        <w:t>.</w:t>
      </w:r>
      <w:r w:rsidR="007F6524" w:rsidRPr="002F0D16">
        <w:t xml:space="preserve"> </w:t>
      </w:r>
    </w:p>
    <w:p w:rsidR="00467E17" w:rsidRPr="00061FF6" w:rsidRDefault="00F62001" w:rsidP="00061FF6">
      <w:pPr>
        <w:pStyle w:val="Zkladntext"/>
        <w:numPr>
          <w:ilvl w:val="0"/>
          <w:numId w:val="11"/>
        </w:numPr>
        <w:tabs>
          <w:tab w:val="clear" w:pos="720"/>
        </w:tabs>
        <w:ind w:left="993" w:hanging="284"/>
      </w:pPr>
      <w:r w:rsidRPr="00061FF6">
        <w:t>Navázání traťového úseku proběhlo v</w:t>
      </w:r>
      <w:r w:rsidR="00061FF6" w:rsidRPr="00061FF6">
        <w:t> km 27,6</w:t>
      </w:r>
      <w:r w:rsidRPr="00061FF6">
        <w:t xml:space="preserve"> na</w:t>
      </w:r>
      <w:r w:rsidR="00D01552" w:rsidRPr="00061FF6">
        <w:t xml:space="preserve"> stávající </w:t>
      </w:r>
      <w:r w:rsidR="000B1BBC" w:rsidRPr="00061FF6">
        <w:t>projekt</w:t>
      </w:r>
      <w:r w:rsidR="00465EDA" w:rsidRPr="00061FF6">
        <w:t xml:space="preserve"> </w:t>
      </w:r>
      <w:r w:rsidR="00061FF6" w:rsidRPr="00061FF6">
        <w:t>Rekonstrukce trati Liberec-Tanvald</w:t>
      </w:r>
      <w:r w:rsidR="000B1BBC" w:rsidRPr="00061FF6">
        <w:t xml:space="preserve">, </w:t>
      </w:r>
      <w:r w:rsidR="00061FF6" w:rsidRPr="00061FF6">
        <w:t xml:space="preserve">v km </w:t>
      </w:r>
      <w:r w:rsidR="00061FF6">
        <w:t>36,0 na</w:t>
      </w:r>
      <w:r w:rsidR="00061FF6" w:rsidRPr="00061FF6">
        <w:t xml:space="preserve"> stávající projekt Rekonstrukce Harrachovského tunelu trati Liberec – Harrachov a také v km 38,6 na stávající projekt</w:t>
      </w:r>
      <w:r w:rsidR="000B1BBC" w:rsidRPr="00061FF6">
        <w:t xml:space="preserve"> </w:t>
      </w:r>
      <w:r w:rsidR="00061FF6" w:rsidRPr="00061FF6">
        <w:t>Zřízení výhybny Harrachov</w:t>
      </w:r>
      <w:r w:rsidR="00465EDA" w:rsidRPr="00061FF6">
        <w:t xml:space="preserve">. </w:t>
      </w:r>
      <w:r w:rsidR="00A94C59" w:rsidRPr="00061FF6">
        <w:t>Projektovaný</w:t>
      </w:r>
      <w:r w:rsidR="00A94C59" w:rsidRPr="00A94C59">
        <w:t xml:space="preserve"> traťový úsek </w:t>
      </w:r>
      <w:r w:rsidRPr="00A94C59">
        <w:t xml:space="preserve">je </w:t>
      </w:r>
      <w:r w:rsidR="00A94C59" w:rsidRPr="00A94C59">
        <w:t>ukončen v km 40</w:t>
      </w:r>
      <w:r w:rsidR="00442F01" w:rsidRPr="00A94C59">
        <w:t>,</w:t>
      </w:r>
      <w:r w:rsidR="00A94C59" w:rsidRPr="00A94C59">
        <w:t>103837</w:t>
      </w:r>
      <w:r w:rsidR="00442F01" w:rsidRPr="00A94C59">
        <w:t>.</w:t>
      </w:r>
    </w:p>
    <w:p w:rsidR="00C4216A" w:rsidRPr="00AC3A53" w:rsidRDefault="00D01552" w:rsidP="008B5E7E">
      <w:pPr>
        <w:pStyle w:val="Zkladntext"/>
        <w:jc w:val="both"/>
        <w:rPr>
          <w:highlight w:val="yellow"/>
        </w:rPr>
      </w:pPr>
      <w:r w:rsidRPr="002237F3">
        <w:t xml:space="preserve">Celková délka úseku </w:t>
      </w:r>
      <w:r w:rsidRPr="00F506BB">
        <w:t xml:space="preserve">činí </w:t>
      </w:r>
      <w:r w:rsidR="002237F3" w:rsidRPr="00F506BB">
        <w:t>10</w:t>
      </w:r>
      <w:r w:rsidR="00442F01" w:rsidRPr="00F506BB">
        <w:t>,</w:t>
      </w:r>
      <w:r w:rsidR="002237F3" w:rsidRPr="00F506BB">
        <w:t>350162 km</w:t>
      </w:r>
      <w:r w:rsidR="008B63F2" w:rsidRPr="00F506BB">
        <w:t xml:space="preserve">. </w:t>
      </w:r>
      <w:r w:rsidR="00442F01" w:rsidRPr="00F506BB">
        <w:t xml:space="preserve">Staničení navázáno na </w:t>
      </w:r>
      <w:r w:rsidR="00F506BB" w:rsidRPr="00F506BB">
        <w:t>existující projekt Rekonstrukce trati Liberec-Tanvald v km 27,6</w:t>
      </w:r>
      <w:r w:rsidR="00442F01" w:rsidRPr="00F506BB">
        <w:t>.</w:t>
      </w:r>
      <w:r w:rsidRPr="00F506BB">
        <w:t xml:space="preserve"> Na traťovém úseku se </w:t>
      </w:r>
      <w:r w:rsidR="00467E17" w:rsidRPr="00F506BB">
        <w:t>nachází</w:t>
      </w:r>
      <w:r w:rsidR="00F506BB" w:rsidRPr="00F506BB">
        <w:t xml:space="preserve"> </w:t>
      </w:r>
      <w:proofErr w:type="spellStart"/>
      <w:r w:rsidR="00F506BB" w:rsidRPr="00F506BB">
        <w:t>ž</w:t>
      </w:r>
      <w:r w:rsidRPr="00F506BB">
        <w:t>st</w:t>
      </w:r>
      <w:proofErr w:type="spellEnd"/>
      <w:r w:rsidRPr="00F506BB">
        <w:t>.</w:t>
      </w:r>
      <w:r w:rsidR="00720EC2" w:rsidRPr="00F506BB">
        <w:t xml:space="preserve"> </w:t>
      </w:r>
      <w:r w:rsidR="00F506BB" w:rsidRPr="00F506BB">
        <w:t xml:space="preserve">Desná, </w:t>
      </w:r>
      <w:proofErr w:type="spellStart"/>
      <w:r w:rsidR="00F506BB" w:rsidRPr="00F506BB">
        <w:t>zast</w:t>
      </w:r>
      <w:proofErr w:type="spellEnd"/>
      <w:r w:rsidR="00F506BB" w:rsidRPr="00F506BB">
        <w:t xml:space="preserve">. Desná-Riedlova vila, </w:t>
      </w:r>
      <w:proofErr w:type="spellStart"/>
      <w:r w:rsidR="00F506BB" w:rsidRPr="00F506BB">
        <w:t>žst</w:t>
      </w:r>
      <w:proofErr w:type="spellEnd"/>
      <w:r w:rsidR="00F506BB" w:rsidRPr="00F506BB">
        <w:t xml:space="preserve">. Dolní </w:t>
      </w:r>
      <w:proofErr w:type="spellStart"/>
      <w:r w:rsidR="00F506BB" w:rsidRPr="00F506BB">
        <w:t>Polubný</w:t>
      </w:r>
      <w:proofErr w:type="spellEnd"/>
      <w:r w:rsidR="00F506BB" w:rsidRPr="00F506BB">
        <w:t xml:space="preserve">, z. Kořenov, </w:t>
      </w:r>
      <w:proofErr w:type="spellStart"/>
      <w:r w:rsidR="00F506BB" w:rsidRPr="00F506BB">
        <w:t>žst</w:t>
      </w:r>
      <w:proofErr w:type="spellEnd"/>
      <w:r w:rsidR="00F506BB" w:rsidRPr="00F506BB">
        <w:t>. Kořenov</w:t>
      </w:r>
      <w:r w:rsidR="00D04610" w:rsidRPr="00F506BB">
        <w:t xml:space="preserve">. </w:t>
      </w:r>
      <w:r w:rsidR="00FF1B25" w:rsidRPr="00F506BB">
        <w:t>Nejvyšší traťová</w:t>
      </w:r>
      <w:r w:rsidR="00FF1B25" w:rsidRPr="00C479FB">
        <w:t xml:space="preserve"> rychlost v</w:t>
      </w:r>
      <w:r w:rsidR="00467E17" w:rsidRPr="00C479FB">
        <w:t> řešeném úseku</w:t>
      </w:r>
      <w:r w:rsidR="00D40A8C" w:rsidRPr="00C479FB">
        <w:t xml:space="preserve"> </w:t>
      </w:r>
      <w:r w:rsidR="00FF1B25" w:rsidRPr="00C479FB">
        <w:t xml:space="preserve">je </w:t>
      </w:r>
      <w:r w:rsidR="00C479FB" w:rsidRPr="00C479FB">
        <w:t>55</w:t>
      </w:r>
      <w:r w:rsidR="00FF1B25" w:rsidRPr="00C479FB">
        <w:t> km/h.</w:t>
      </w:r>
      <w:r w:rsidR="005644ED" w:rsidRPr="00C479FB">
        <w:t xml:space="preserve"> Nejnižší traťová rychlost v řešeném úseku je </w:t>
      </w:r>
      <w:r w:rsidR="00C479FB" w:rsidRPr="00C479FB">
        <w:t>1</w:t>
      </w:r>
      <w:r w:rsidRPr="00C479FB">
        <w:t xml:space="preserve">0 </w:t>
      </w:r>
      <w:r w:rsidR="005644ED" w:rsidRPr="00C479FB">
        <w:t>km/h</w:t>
      </w:r>
      <w:r w:rsidR="003962AC" w:rsidRPr="00C479FB">
        <w:t>.</w:t>
      </w:r>
    </w:p>
    <w:p w:rsidR="00715AEB" w:rsidRPr="002F0D16" w:rsidRDefault="00715AEB">
      <w:pPr>
        <w:pStyle w:val="Nadpis3"/>
        <w:numPr>
          <w:ilvl w:val="0"/>
          <w:numId w:val="2"/>
        </w:numPr>
      </w:pPr>
      <w:r w:rsidRPr="002F0D16">
        <w:t>Směrové řešení</w:t>
      </w:r>
    </w:p>
    <w:p w:rsidR="000E0D8E" w:rsidRPr="002F0D16" w:rsidRDefault="00FF1B25" w:rsidP="00CC1E78">
      <w:pPr>
        <w:pStyle w:val="Zkladntext"/>
        <w:jc w:val="both"/>
      </w:pPr>
      <w:r w:rsidRPr="002F0D16">
        <w:t xml:space="preserve">Návrh směrového řešení vychází </w:t>
      </w:r>
      <w:r w:rsidR="009F15C9" w:rsidRPr="002F0D16">
        <w:t xml:space="preserve">z </w:t>
      </w:r>
      <w:r w:rsidRPr="002F0D16">
        <w:t>údajů o poloměrech a délkách přechodnic uvedených v nákresn</w:t>
      </w:r>
      <w:r w:rsidR="003C7FCA" w:rsidRPr="002F0D16">
        <w:t>ém</w:t>
      </w:r>
      <w:r w:rsidRPr="002F0D16">
        <w:t xml:space="preserve"> přehled</w:t>
      </w:r>
      <w:r w:rsidR="003C7FCA" w:rsidRPr="002F0D16">
        <w:t>u</w:t>
      </w:r>
      <w:r w:rsidRPr="002F0D16">
        <w:t>. Tyto hodnoty byly optimalizovány pro skutečný stav dle zaměření s cílem dosáhnout co nejmenší příčný posun koleje oproti stávajícímu stavu při současném dodržení požadavků na geometrii osy koleje dle ČSN 73 6360-</w:t>
      </w:r>
      <w:r w:rsidR="008864F8" w:rsidRPr="002F0D16">
        <w:t>1</w:t>
      </w:r>
      <w:r w:rsidRPr="002F0D16">
        <w:t>.</w:t>
      </w:r>
    </w:p>
    <w:p w:rsidR="00F63FD1" w:rsidRPr="002F0D16" w:rsidRDefault="00FF1B25" w:rsidP="003F231E">
      <w:pPr>
        <w:pStyle w:val="Zkladntext"/>
        <w:jc w:val="both"/>
      </w:pPr>
      <w:r w:rsidRPr="002F0D16">
        <w:t xml:space="preserve"> Dle požadavku objednatele j</w:t>
      </w:r>
      <w:r w:rsidR="00B536EC" w:rsidRPr="002F0D16">
        <w:t>e</w:t>
      </w:r>
      <w:r w:rsidRPr="002F0D16">
        <w:t xml:space="preserve"> v místě pevných překážek, jako jsou výhybky, mosty bez průběžného štěrkového lože a přejezdy </w:t>
      </w:r>
      <w:r w:rsidR="00B536EC" w:rsidRPr="002F0D16">
        <w:t xml:space="preserve">respektován </w:t>
      </w:r>
      <w:r w:rsidRPr="002F0D16">
        <w:t>limit pro max</w:t>
      </w:r>
      <w:r w:rsidR="00B536EC" w:rsidRPr="002F0D16">
        <w:t xml:space="preserve">imální příčný </w:t>
      </w:r>
      <w:r w:rsidR="008B5E7E" w:rsidRPr="002F0D16">
        <w:t>posun do 15</w:t>
      </w:r>
      <w:r w:rsidRPr="002F0D16">
        <w:t xml:space="preserve"> mm</w:t>
      </w:r>
      <w:r w:rsidR="000E0D8E" w:rsidRPr="002F0D16">
        <w:t>, pokud to bylo možné. V místech mimo pevné překážky byl objednatelem stanoven limit p</w:t>
      </w:r>
      <w:r w:rsidR="008B5E7E" w:rsidRPr="002F0D16">
        <w:t>ro maximální příčný posun do 60</w:t>
      </w:r>
      <w:r w:rsidR="000E0D8E" w:rsidRPr="002F0D16">
        <w:t> mm</w:t>
      </w:r>
      <w:r w:rsidR="008B5E7E" w:rsidRPr="002F0D16">
        <w:t xml:space="preserve"> výjimečně do 100 mm (zdůvodněno)</w:t>
      </w:r>
      <w:r w:rsidR="000E0D8E" w:rsidRPr="002F0D16">
        <w:t>.</w:t>
      </w:r>
      <w:r w:rsidR="008B5E7E" w:rsidRPr="002F0D16">
        <w:t xml:space="preserve"> Překročení limitu 100 mm je nutno projednat, nechat schválit od SPPK a následně uvést zde v TZ. Posuny do 60 mm nemusí být konzultovány. </w:t>
      </w:r>
    </w:p>
    <w:p w:rsidR="00FF1B25" w:rsidRPr="00AC3A53" w:rsidRDefault="007B4A72" w:rsidP="00CC1E78">
      <w:pPr>
        <w:pStyle w:val="Zkladntext"/>
        <w:jc w:val="both"/>
        <w:rPr>
          <w:highlight w:val="yellow"/>
        </w:rPr>
      </w:pPr>
      <w:r w:rsidRPr="00386221">
        <w:lastRenderedPageBreak/>
        <w:t>Upravené hodnoty poloměrů oblouků byly zaokrouhleny na</w:t>
      </w:r>
      <w:r w:rsidR="00E6101A" w:rsidRPr="00386221">
        <w:t xml:space="preserve"> celých </w:t>
      </w:r>
      <w:r w:rsidR="00E9778E" w:rsidRPr="00386221">
        <w:t>1,</w:t>
      </w:r>
      <w:r w:rsidR="003F231E" w:rsidRPr="00386221">
        <w:t>0</w:t>
      </w:r>
      <w:r w:rsidR="00B87DA9" w:rsidRPr="00386221">
        <w:t> </w:t>
      </w:r>
      <w:r w:rsidRPr="00386221">
        <w:t>m</w:t>
      </w:r>
      <w:r w:rsidR="00C41157" w:rsidRPr="00386221">
        <w:t>, pokud to situace dovolila</w:t>
      </w:r>
      <w:r w:rsidRPr="00386221">
        <w:t>.</w:t>
      </w:r>
      <w:r w:rsidR="00C54890" w:rsidRPr="00386221">
        <w:t xml:space="preserve"> </w:t>
      </w:r>
      <w:r w:rsidR="00F72482" w:rsidRPr="00386221">
        <w:t>V případě dlouhých oblouků jednotného poloměru bylo v některých případech</w:t>
      </w:r>
      <w:r w:rsidR="00DE749E" w:rsidRPr="00386221">
        <w:t xml:space="preserve"> zvoleno řešení rekonstrukce osy koleje pomocí složeného oblouku z důvodu minimalizace příčných posunů.</w:t>
      </w:r>
      <w:r w:rsidR="00E9778E" w:rsidRPr="00386221">
        <w:t xml:space="preserve"> </w:t>
      </w:r>
      <w:r w:rsidR="008E6004" w:rsidRPr="00386221">
        <w:t>U přímých úseků bylo</w:t>
      </w:r>
      <w:r w:rsidR="00444E55" w:rsidRPr="00386221">
        <w:t xml:space="preserve"> hledáno řešení vyrovnání přímé i za cenu větších příčných posunů než zvolit řešení s vložením oblouků o velkých poloměrech a přímou rozd</w:t>
      </w:r>
      <w:r w:rsidR="00B87DA9" w:rsidRPr="00386221">
        <w:t>ělit na několik dílčích tečen.</w:t>
      </w:r>
      <w:r w:rsidR="00B87DA9" w:rsidRPr="00AC3A53">
        <w:rPr>
          <w:highlight w:val="yellow"/>
        </w:rPr>
        <w:t xml:space="preserve"> </w:t>
      </w:r>
    </w:p>
    <w:p w:rsidR="00FC769D" w:rsidRPr="00AC3A53" w:rsidRDefault="00D70DCE" w:rsidP="003F231E">
      <w:pPr>
        <w:pStyle w:val="Zkladntext"/>
        <w:jc w:val="both"/>
        <w:rPr>
          <w:highlight w:val="yellow"/>
        </w:rPr>
      </w:pPr>
      <w:r w:rsidRPr="00386221">
        <w:t>Všechny přechodnice jsou navrženy ČSN 73 6360-1 tvaru klotoidy s lineární vzestupnicí shodné délky.</w:t>
      </w:r>
      <w:r w:rsidR="00780BC7" w:rsidRPr="00386221">
        <w:t xml:space="preserve"> </w:t>
      </w:r>
    </w:p>
    <w:p w:rsidR="00C54890" w:rsidRPr="00386221" w:rsidRDefault="00715AEB" w:rsidP="00CC1E78">
      <w:pPr>
        <w:pStyle w:val="Zkladntext"/>
        <w:jc w:val="both"/>
      </w:pPr>
      <w:r w:rsidRPr="00026E4B">
        <w:t>Převýšení kolejnicových pásů</w:t>
      </w:r>
      <w:r w:rsidR="00CC1E78" w:rsidRPr="00026E4B">
        <w:t xml:space="preserve"> v obloucích </w:t>
      </w:r>
      <w:r w:rsidR="001E7DEC" w:rsidRPr="00026E4B">
        <w:t xml:space="preserve">bylo převzato z </w:t>
      </w:r>
      <w:r w:rsidRPr="00026E4B">
        <w:t>poskytnutých nákresných přehledů</w:t>
      </w:r>
      <w:r w:rsidR="003F231E" w:rsidRPr="00026E4B">
        <w:t>.</w:t>
      </w:r>
      <w:r w:rsidR="002B0373" w:rsidRPr="00026E4B">
        <w:t xml:space="preserve"> Převýšení (D) je upraveno na základě požadavků normy, případně dle potřeby z důvodu minimalizace směrových posunů.</w:t>
      </w:r>
      <w:r w:rsidR="002B0373" w:rsidRPr="00386221">
        <w:t xml:space="preserve"> </w:t>
      </w:r>
    </w:p>
    <w:p w:rsidR="005B3EF1" w:rsidRPr="00AC3A53" w:rsidRDefault="005B3EF1" w:rsidP="00CC1E78">
      <w:pPr>
        <w:pStyle w:val="Zkladntext"/>
        <w:jc w:val="both"/>
        <w:rPr>
          <w:highlight w:val="yellow"/>
        </w:rPr>
      </w:pPr>
    </w:p>
    <w:p w:rsidR="007E7EB7" w:rsidRPr="00C9128B" w:rsidRDefault="005B3EF1" w:rsidP="00FA3D5A">
      <w:pPr>
        <w:pStyle w:val="Zkladntext"/>
        <w:ind w:firstLine="0"/>
        <w:jc w:val="both"/>
        <w:rPr>
          <w:b/>
        </w:rPr>
      </w:pPr>
      <w:r w:rsidRPr="00C9128B">
        <w:rPr>
          <w:b/>
        </w:rPr>
        <w:t>Tabulka nedodržení stanovených limitů</w:t>
      </w:r>
      <w:r w:rsidR="00FA3D5A" w:rsidRPr="00C9128B">
        <w:rPr>
          <w:b/>
        </w:rPr>
        <w:t xml:space="preserve"> posunů</w:t>
      </w:r>
      <w:r w:rsidRPr="00C9128B">
        <w:rPr>
          <w:b/>
        </w:rPr>
        <w:t>, které byly projednány:</w:t>
      </w:r>
    </w:p>
    <w:tbl>
      <w:tblPr>
        <w:tblW w:w="8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7230"/>
      </w:tblGrid>
      <w:tr w:rsidR="00442F01" w:rsidRPr="00AC3A53" w:rsidTr="0010241E">
        <w:trPr>
          <w:trHeight w:val="30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F01" w:rsidRPr="008E64C1" w:rsidRDefault="00442F01" w:rsidP="00442F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8E64C1">
              <w:rPr>
                <w:rFonts w:eastAsia="Times New Roman" w:cs="Calibri"/>
                <w:b/>
                <w:bCs/>
                <w:color w:val="000000"/>
                <w:lang w:eastAsia="cs-CZ"/>
              </w:rPr>
              <w:t>Staničení KM</w:t>
            </w:r>
          </w:p>
        </w:tc>
        <w:tc>
          <w:tcPr>
            <w:tcW w:w="72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F01" w:rsidRPr="008E64C1" w:rsidRDefault="00442F01" w:rsidP="00442F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8E64C1">
              <w:rPr>
                <w:rFonts w:eastAsia="Times New Roman" w:cs="Calibri"/>
                <w:b/>
                <w:bCs/>
                <w:color w:val="000000"/>
                <w:lang w:eastAsia="cs-CZ"/>
              </w:rPr>
              <w:t>Popis</w:t>
            </w:r>
          </w:p>
        </w:tc>
      </w:tr>
      <w:tr w:rsidR="00442F01" w:rsidRPr="00AC3A53" w:rsidTr="0010241E">
        <w:trPr>
          <w:trHeight w:val="31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01" w:rsidRPr="008E64C1" w:rsidRDefault="008E64C1" w:rsidP="008D1B72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8E64C1">
              <w:rPr>
                <w:rFonts w:eastAsia="Times New Roman" w:cs="Calibri"/>
                <w:color w:val="000000"/>
                <w:lang w:eastAsia="cs-CZ"/>
              </w:rPr>
              <w:t>27.7</w:t>
            </w:r>
            <w:r w:rsidR="00D2648C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044315">
              <w:rPr>
                <w:rFonts w:eastAsia="Times New Roman" w:cs="Calibri"/>
                <w:color w:val="000000"/>
                <w:lang w:eastAsia="cs-CZ"/>
              </w:rPr>
              <w:t xml:space="preserve"> - 27.8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01" w:rsidRPr="00044315" w:rsidRDefault="008E64C1" w:rsidP="008D1B72">
            <w:pPr>
              <w:spacing w:after="0" w:line="240" w:lineRule="auto"/>
              <w:rPr>
                <w:rFonts w:eastAsia="Times New Roman" w:cs="Calibri"/>
                <w:color w:val="000000"/>
                <w:lang w:val="en-GB" w:eastAsia="cs-CZ"/>
              </w:rPr>
            </w:pPr>
            <w:r w:rsidRPr="008E64C1">
              <w:rPr>
                <w:rFonts w:eastAsia="Times New Roman" w:cs="Calibri"/>
                <w:color w:val="000000"/>
                <w:lang w:eastAsia="cs-CZ"/>
              </w:rPr>
              <w:t>Vloženy 1 oblouk z důvodu zjednodušení řešení na úkor vyšších posunů mimo mostnice</w:t>
            </w:r>
            <w:r w:rsidR="00044315">
              <w:rPr>
                <w:rFonts w:eastAsia="Times New Roman" w:cs="Calibri"/>
                <w:color w:val="000000"/>
                <w:lang w:eastAsia="cs-CZ"/>
              </w:rPr>
              <w:t>,</w:t>
            </w:r>
            <w:r w:rsidR="00D2648C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044315">
              <w:rPr>
                <w:rFonts w:eastAsia="Times New Roman" w:cs="Calibri"/>
                <w:color w:val="000000"/>
                <w:lang w:eastAsia="cs-CZ"/>
              </w:rPr>
              <w:t xml:space="preserve">na mostě </w:t>
            </w:r>
            <w:r w:rsidR="00D2648C">
              <w:rPr>
                <w:rFonts w:eastAsia="Times New Roman" w:cs="Calibri"/>
                <w:color w:val="000000"/>
                <w:lang w:eastAsia="cs-CZ"/>
              </w:rPr>
              <w:t xml:space="preserve">do </w:t>
            </w:r>
            <w:r w:rsidR="008D1B72">
              <w:rPr>
                <w:rFonts w:eastAsia="Times New Roman" w:cs="Calibri"/>
                <w:color w:val="000000"/>
                <w:lang w:eastAsia="cs-CZ"/>
              </w:rPr>
              <w:t>35</w:t>
            </w:r>
            <w:r w:rsidR="00D2648C">
              <w:rPr>
                <w:rFonts w:eastAsia="Times New Roman" w:cs="Calibri"/>
                <w:color w:val="000000"/>
                <w:lang w:eastAsia="cs-CZ"/>
              </w:rPr>
              <w:t xml:space="preserve"> mm</w:t>
            </w:r>
            <w:r w:rsidR="00044315">
              <w:rPr>
                <w:rFonts w:eastAsia="Times New Roman" w:cs="Calibri"/>
                <w:color w:val="000000"/>
                <w:lang w:eastAsia="cs-CZ"/>
              </w:rPr>
              <w:t>, za mostem posun do 139 mm</w:t>
            </w:r>
          </w:p>
        </w:tc>
      </w:tr>
      <w:tr w:rsidR="00044315" w:rsidRPr="00AC3A53" w:rsidTr="0010241E">
        <w:trPr>
          <w:trHeight w:val="31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315" w:rsidRPr="008E64C1" w:rsidRDefault="00044315" w:rsidP="0004431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28.0 – 28.233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4315" w:rsidRPr="008E64C1" w:rsidRDefault="00044315" w:rsidP="0004431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044315">
              <w:rPr>
                <w:rFonts w:eastAsia="Times New Roman" w:cs="Calibri"/>
                <w:color w:val="000000"/>
                <w:lang w:eastAsia="cs-CZ"/>
              </w:rPr>
              <w:t xml:space="preserve">Zjednodušení řešení na úkor vyšších posunů do </w:t>
            </w:r>
            <w:r>
              <w:rPr>
                <w:rFonts w:eastAsia="Times New Roman" w:cs="Calibri"/>
                <w:color w:val="000000"/>
                <w:lang w:eastAsia="cs-CZ"/>
              </w:rPr>
              <w:t>90</w:t>
            </w:r>
            <w:r w:rsidRPr="00044315">
              <w:rPr>
                <w:rFonts w:eastAsia="Times New Roman" w:cs="Calibri"/>
                <w:color w:val="000000"/>
                <w:lang w:eastAsia="cs-CZ"/>
              </w:rPr>
              <w:t xml:space="preserve"> mm </w:t>
            </w:r>
          </w:p>
        </w:tc>
      </w:tr>
      <w:tr w:rsidR="00995B7E" w:rsidRPr="00AC3A53" w:rsidTr="0010241E">
        <w:trPr>
          <w:trHeight w:val="31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5B7E" w:rsidRPr="008E64C1" w:rsidRDefault="00A1356F" w:rsidP="00442F0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28.4 – 28.</w:t>
            </w:r>
            <w:r w:rsidR="00995B7E">
              <w:rPr>
                <w:rFonts w:eastAsia="Times New Roman" w:cs="Calibri"/>
                <w:color w:val="000000"/>
                <w:lang w:eastAsia="cs-CZ"/>
              </w:rP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7E" w:rsidRPr="008E64C1" w:rsidRDefault="00995B7E" w:rsidP="008E64C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Z</w:t>
            </w:r>
            <w:r w:rsidRPr="008E64C1">
              <w:rPr>
                <w:rFonts w:eastAsia="Times New Roman" w:cs="Calibri"/>
                <w:color w:val="000000"/>
                <w:lang w:eastAsia="cs-CZ"/>
              </w:rPr>
              <w:t>jednodušení řešení na úkor vyšších posunů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do 87</w:t>
            </w:r>
            <w:r w:rsidR="00E303D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mm</w:t>
            </w:r>
          </w:p>
        </w:tc>
      </w:tr>
      <w:tr w:rsidR="00A1356F" w:rsidRPr="00AC3A53" w:rsidTr="0010241E">
        <w:trPr>
          <w:trHeight w:val="31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356F" w:rsidRDefault="00570D30" w:rsidP="00442F0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28.7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56F" w:rsidRDefault="00570D30" w:rsidP="00570D3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Z</w:t>
            </w:r>
            <w:r w:rsidRPr="008E64C1">
              <w:rPr>
                <w:rFonts w:eastAsia="Times New Roman" w:cs="Calibri"/>
                <w:color w:val="000000"/>
                <w:lang w:eastAsia="cs-CZ"/>
              </w:rPr>
              <w:t>jednodušení řešení na úkor vyšších posunů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do 17 mm ve výhybce</w:t>
            </w:r>
          </w:p>
        </w:tc>
      </w:tr>
      <w:tr w:rsidR="00072121" w:rsidRPr="00AC3A53" w:rsidTr="0010241E">
        <w:trPr>
          <w:trHeight w:val="31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2121" w:rsidRDefault="00BE209E" w:rsidP="00BE209E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28.8 – 29.06</w:t>
            </w:r>
            <w:r w:rsidR="00A20C98">
              <w:rPr>
                <w:rFonts w:eastAsia="Times New Roman" w:cs="Calibri"/>
                <w:color w:val="000000"/>
                <w:lang w:eastAsia="cs-CZ"/>
              </w:rPr>
              <w:t>, 29.2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121" w:rsidRDefault="00BE209E" w:rsidP="00BE209E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Z</w:t>
            </w:r>
            <w:r w:rsidRPr="008E64C1">
              <w:rPr>
                <w:rFonts w:eastAsia="Times New Roman" w:cs="Calibri"/>
                <w:color w:val="000000"/>
                <w:lang w:eastAsia="cs-CZ"/>
              </w:rPr>
              <w:t>jednodušení řešení na úkor vyšších posunů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do 107 mm</w:t>
            </w:r>
          </w:p>
        </w:tc>
      </w:tr>
      <w:tr w:rsidR="00442F01" w:rsidRPr="00AC3A53" w:rsidTr="0010241E">
        <w:trPr>
          <w:trHeight w:val="406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01" w:rsidRPr="00F912D5" w:rsidRDefault="008E64C1" w:rsidP="008E64C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F912D5">
              <w:rPr>
                <w:rFonts w:eastAsia="Times New Roman" w:cs="Calibri"/>
                <w:color w:val="000000"/>
                <w:lang w:eastAsia="cs-CZ"/>
              </w:rPr>
              <w:t>29.244027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01" w:rsidRPr="00F912D5" w:rsidRDefault="008E64C1" w:rsidP="008E64C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F912D5">
              <w:rPr>
                <w:rFonts w:eastAsia="Times New Roman" w:cs="Calibri"/>
                <w:color w:val="000000"/>
                <w:lang w:eastAsia="cs-CZ"/>
              </w:rPr>
              <w:t>Nadlimitní posun na mostě do 35</w:t>
            </w:r>
            <w:r w:rsidR="00E303D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F912D5">
              <w:rPr>
                <w:rFonts w:eastAsia="Times New Roman" w:cs="Calibri"/>
                <w:color w:val="000000"/>
                <w:lang w:eastAsia="cs-CZ"/>
              </w:rPr>
              <w:t>mm</w:t>
            </w:r>
            <w:r w:rsidR="00F912D5" w:rsidRPr="00F912D5">
              <w:rPr>
                <w:rFonts w:eastAsia="Times New Roman" w:cs="Calibri"/>
                <w:color w:val="000000"/>
                <w:lang w:eastAsia="cs-CZ"/>
              </w:rPr>
              <w:t xml:space="preserve"> z důvodu nekonstruováni více složeného oblouku</w:t>
            </w:r>
          </w:p>
        </w:tc>
      </w:tr>
      <w:tr w:rsidR="00442F01" w:rsidRPr="00AC3A53" w:rsidTr="0010241E">
        <w:trPr>
          <w:trHeight w:val="30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01" w:rsidRPr="00F912D5" w:rsidRDefault="00F912D5" w:rsidP="00442F0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F912D5">
              <w:rPr>
                <w:rFonts w:eastAsia="Times New Roman" w:cs="Calibri"/>
                <w:color w:val="000000"/>
                <w:lang w:eastAsia="cs-CZ"/>
              </w:rPr>
              <w:t>29</w:t>
            </w:r>
            <w:r w:rsidR="00442F01" w:rsidRPr="00F912D5">
              <w:rPr>
                <w:rFonts w:eastAsia="Times New Roman" w:cs="Calibri"/>
                <w:color w:val="000000"/>
                <w:lang w:eastAsia="cs-CZ"/>
              </w:rPr>
              <w:t>.</w:t>
            </w:r>
            <w:r w:rsidRPr="00F912D5">
              <w:rPr>
                <w:rFonts w:eastAsia="Times New Roman" w:cs="Calibri"/>
                <w:color w:val="000000"/>
                <w:lang w:eastAsia="cs-CZ"/>
              </w:rPr>
              <w:t>296 – 29.305</w:t>
            </w:r>
          </w:p>
          <w:p w:rsidR="008E64C1" w:rsidRPr="00F912D5" w:rsidRDefault="008E64C1" w:rsidP="00442F0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12D5" w:rsidRPr="00F912D5" w:rsidRDefault="00F912D5" w:rsidP="00442F0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442F01" w:rsidRPr="00F912D5" w:rsidRDefault="008E64C1" w:rsidP="00442F0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F912D5">
              <w:rPr>
                <w:rFonts w:eastAsia="Times New Roman" w:cs="Calibri"/>
                <w:color w:val="000000"/>
                <w:lang w:eastAsia="cs-CZ"/>
              </w:rPr>
              <w:t xml:space="preserve">Nadlimitní </w:t>
            </w:r>
            <w:r w:rsidR="00F912D5" w:rsidRPr="00F912D5">
              <w:rPr>
                <w:rFonts w:eastAsia="Times New Roman" w:cs="Calibri"/>
                <w:color w:val="000000"/>
                <w:lang w:eastAsia="cs-CZ"/>
              </w:rPr>
              <w:t>posuny</w:t>
            </w:r>
            <w:r w:rsidRPr="00F912D5">
              <w:rPr>
                <w:rFonts w:eastAsia="Times New Roman" w:cs="Calibri"/>
                <w:color w:val="000000"/>
                <w:lang w:eastAsia="cs-CZ"/>
              </w:rPr>
              <w:t xml:space="preserve"> na mostě do 40</w:t>
            </w:r>
            <w:r w:rsidR="00D2648C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F912D5">
              <w:rPr>
                <w:rFonts w:eastAsia="Times New Roman" w:cs="Calibri"/>
                <w:color w:val="000000"/>
                <w:lang w:eastAsia="cs-CZ"/>
              </w:rPr>
              <w:t>mm</w:t>
            </w:r>
            <w:r w:rsidR="00F912D5" w:rsidRPr="00F912D5">
              <w:rPr>
                <w:rFonts w:eastAsia="Times New Roman" w:cs="Calibri"/>
                <w:color w:val="000000"/>
                <w:lang w:eastAsia="cs-CZ"/>
              </w:rPr>
              <w:t xml:space="preserve"> z důvodu nekonstruováni více složeného oblouku</w:t>
            </w:r>
          </w:p>
        </w:tc>
      </w:tr>
      <w:tr w:rsidR="00F004D1" w:rsidRPr="00AC3A53" w:rsidTr="0010241E">
        <w:trPr>
          <w:trHeight w:val="30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04D1" w:rsidRPr="00F912D5" w:rsidRDefault="00F004D1" w:rsidP="00442F0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29.35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4D1" w:rsidRPr="00F912D5" w:rsidRDefault="00F004D1" w:rsidP="00F004D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F912D5">
              <w:rPr>
                <w:rFonts w:eastAsia="Times New Roman" w:cs="Calibri"/>
                <w:color w:val="000000"/>
                <w:lang w:eastAsia="cs-CZ"/>
              </w:rPr>
              <w:t xml:space="preserve">Nadlimitní posuny </w:t>
            </w:r>
            <w:r w:rsidRPr="00F004D1">
              <w:rPr>
                <w:rFonts w:eastAsia="Times New Roman" w:cs="Calibri"/>
                <w:color w:val="000000"/>
                <w:lang w:eastAsia="cs-CZ"/>
              </w:rPr>
              <w:t>na přejezdu do</w:t>
            </w:r>
            <w:r w:rsidRPr="00F912D5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22 </w:t>
            </w:r>
            <w:r w:rsidRPr="00F912D5">
              <w:rPr>
                <w:rFonts w:eastAsia="Times New Roman" w:cs="Calibri"/>
                <w:color w:val="000000"/>
                <w:lang w:eastAsia="cs-CZ"/>
              </w:rPr>
              <w:t>mm z důvodu nekonstruováni více složeného oblouku</w:t>
            </w:r>
          </w:p>
        </w:tc>
      </w:tr>
      <w:tr w:rsidR="00442F01" w:rsidRPr="00AC3A53" w:rsidTr="0010241E">
        <w:trPr>
          <w:trHeight w:val="60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01" w:rsidRPr="00AC3A53" w:rsidRDefault="00F912D5" w:rsidP="00F912D5">
            <w:pPr>
              <w:spacing w:after="0" w:line="240" w:lineRule="auto"/>
              <w:rPr>
                <w:rFonts w:eastAsia="Times New Roman" w:cs="Calibri"/>
                <w:color w:val="000000"/>
                <w:highlight w:val="yellow"/>
                <w:lang w:eastAsia="cs-CZ"/>
              </w:rPr>
            </w:pPr>
            <w:r w:rsidRPr="00F912D5">
              <w:rPr>
                <w:rFonts w:eastAsia="Times New Roman" w:cs="Calibri"/>
                <w:color w:val="000000"/>
                <w:lang w:eastAsia="cs-CZ"/>
              </w:rPr>
              <w:t>29</w:t>
            </w:r>
            <w:r w:rsidR="00442F01" w:rsidRPr="00F912D5">
              <w:rPr>
                <w:rFonts w:eastAsia="Times New Roman" w:cs="Calibri"/>
                <w:color w:val="000000"/>
                <w:lang w:eastAsia="cs-CZ"/>
              </w:rPr>
              <w:t>.</w:t>
            </w:r>
            <w:r w:rsidRPr="00F912D5">
              <w:rPr>
                <w:rFonts w:eastAsia="Times New Roman" w:cs="Calibri"/>
                <w:color w:val="000000"/>
                <w:lang w:eastAsia="cs-CZ"/>
              </w:rPr>
              <w:t>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01" w:rsidRPr="00AC3A53" w:rsidRDefault="00F912D5" w:rsidP="00442F01">
            <w:pPr>
              <w:spacing w:after="0" w:line="240" w:lineRule="auto"/>
              <w:rPr>
                <w:rFonts w:eastAsia="Times New Roman" w:cs="Calibri"/>
                <w:color w:val="000000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Nadlimitní posun v tunelu do 99</w:t>
            </w:r>
            <w:r w:rsidR="00D2648C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F912D5">
              <w:rPr>
                <w:rFonts w:eastAsia="Times New Roman" w:cs="Calibri"/>
                <w:color w:val="000000"/>
                <w:lang w:eastAsia="cs-CZ"/>
              </w:rPr>
              <w:t>mm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F912D5">
              <w:rPr>
                <w:rFonts w:eastAsia="Times New Roman" w:cs="Calibri"/>
                <w:color w:val="000000"/>
                <w:lang w:eastAsia="cs-CZ"/>
              </w:rPr>
              <w:t>z důvodu nekonstruováni více složeného oblouku</w:t>
            </w:r>
          </w:p>
        </w:tc>
      </w:tr>
      <w:tr w:rsidR="00442F01" w:rsidRPr="00AC3A53" w:rsidTr="00125FA0">
        <w:trPr>
          <w:trHeight w:val="324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01" w:rsidRPr="00AC3A53" w:rsidRDefault="007A063D" w:rsidP="00F912D5">
            <w:pPr>
              <w:spacing w:after="0" w:line="240" w:lineRule="auto"/>
              <w:rPr>
                <w:rFonts w:eastAsia="Times New Roman" w:cs="Calibri"/>
                <w:color w:val="000000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29.85 - </w:t>
            </w:r>
            <w:r w:rsidR="00F912D5" w:rsidRPr="00F912D5">
              <w:rPr>
                <w:rFonts w:eastAsia="Times New Roman" w:cs="Calibri"/>
                <w:color w:val="000000"/>
                <w:lang w:eastAsia="cs-CZ"/>
              </w:rPr>
              <w:t>29</w:t>
            </w:r>
            <w:r w:rsidR="00442F01" w:rsidRPr="00F912D5">
              <w:rPr>
                <w:rFonts w:eastAsia="Times New Roman" w:cs="Calibri"/>
                <w:color w:val="000000"/>
                <w:lang w:eastAsia="cs-CZ"/>
              </w:rPr>
              <w:t>.</w:t>
            </w:r>
            <w:r w:rsidR="00F912D5" w:rsidRPr="00F912D5">
              <w:rPr>
                <w:rFonts w:eastAsia="Times New Roman" w:cs="Calibri"/>
                <w:color w:val="000000"/>
                <w:lang w:eastAsia="cs-CZ"/>
              </w:rPr>
              <w:t>9</w:t>
            </w:r>
            <w:r>
              <w:rPr>
                <w:rFonts w:eastAsia="Times New Roman" w:cs="Calibri"/>
                <w:color w:val="000000"/>
                <w:lang w:eastAsia="cs-CZ"/>
              </w:rPr>
              <w:t>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01" w:rsidRPr="00AC3A53" w:rsidRDefault="007A063D" w:rsidP="00D2648C">
            <w:pPr>
              <w:spacing w:after="0" w:line="240" w:lineRule="auto"/>
              <w:rPr>
                <w:rFonts w:eastAsia="Times New Roman" w:cs="Calibri"/>
                <w:color w:val="000000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Z</w:t>
            </w:r>
            <w:r w:rsidR="00F912D5" w:rsidRPr="008E64C1">
              <w:rPr>
                <w:rFonts w:eastAsia="Times New Roman" w:cs="Calibri"/>
                <w:color w:val="000000"/>
                <w:lang w:eastAsia="cs-CZ"/>
              </w:rPr>
              <w:t>jednodušení řešení na úkor vyšších posunů</w:t>
            </w:r>
            <w:r w:rsidR="00D2648C">
              <w:rPr>
                <w:rFonts w:eastAsia="Times New Roman" w:cs="Calibri"/>
                <w:color w:val="000000"/>
                <w:lang w:eastAsia="cs-CZ"/>
              </w:rPr>
              <w:t xml:space="preserve"> do 85 mm</w:t>
            </w:r>
          </w:p>
        </w:tc>
      </w:tr>
      <w:tr w:rsidR="0089662C" w:rsidRPr="00AC3A53" w:rsidTr="00125FA0">
        <w:trPr>
          <w:trHeight w:val="272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62C" w:rsidRPr="00F912D5" w:rsidRDefault="0089662C" w:rsidP="00F912D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30.1 – 30.2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62C" w:rsidRPr="008E64C1" w:rsidRDefault="0089662C" w:rsidP="00F912D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Z</w:t>
            </w:r>
            <w:r w:rsidRPr="008E64C1">
              <w:rPr>
                <w:rFonts w:eastAsia="Times New Roman" w:cs="Calibri"/>
                <w:color w:val="000000"/>
                <w:lang w:eastAsia="cs-CZ"/>
              </w:rPr>
              <w:t>jednodušení řešení na úkor vyšších posunů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do 85</w:t>
            </w:r>
            <w:r w:rsidR="00E303D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mm</w:t>
            </w:r>
          </w:p>
        </w:tc>
      </w:tr>
      <w:tr w:rsidR="007A063D" w:rsidRPr="00AC3A53" w:rsidTr="00125FA0">
        <w:trPr>
          <w:trHeight w:val="276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63D" w:rsidRDefault="007A063D" w:rsidP="007A063D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30.85 – 31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063D" w:rsidRDefault="007A063D" w:rsidP="007A063D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Nadlimitní posun do 95 </w:t>
            </w:r>
            <w:r w:rsidRPr="00F912D5">
              <w:rPr>
                <w:rFonts w:eastAsia="Times New Roman" w:cs="Calibri"/>
                <w:color w:val="000000"/>
                <w:lang w:eastAsia="cs-CZ"/>
              </w:rPr>
              <w:t>mm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F912D5">
              <w:rPr>
                <w:rFonts w:eastAsia="Times New Roman" w:cs="Calibri"/>
                <w:color w:val="000000"/>
                <w:lang w:eastAsia="cs-CZ"/>
              </w:rPr>
              <w:t>z důvodu nekonstruováni více složeného oblouku</w:t>
            </w:r>
          </w:p>
        </w:tc>
      </w:tr>
      <w:tr w:rsidR="0089662C" w:rsidRPr="00AC3A53" w:rsidTr="00125FA0">
        <w:trPr>
          <w:trHeight w:val="266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62C" w:rsidRDefault="0089662C" w:rsidP="0089662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31.1 </w:t>
            </w:r>
            <w:r w:rsidR="007A063D">
              <w:rPr>
                <w:rFonts w:eastAsia="Times New Roman" w:cs="Calibri"/>
                <w:color w:val="000000"/>
                <w:lang w:eastAsia="cs-CZ"/>
              </w:rPr>
              <w:t xml:space="preserve"> - 31.2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62C" w:rsidRDefault="0089662C" w:rsidP="0089662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Z</w:t>
            </w:r>
            <w:r w:rsidRPr="008E64C1">
              <w:rPr>
                <w:rFonts w:eastAsia="Times New Roman" w:cs="Calibri"/>
                <w:color w:val="000000"/>
                <w:lang w:eastAsia="cs-CZ"/>
              </w:rPr>
              <w:t>jednodušení řešení na úkor vyšších posunů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do 95</w:t>
            </w:r>
            <w:r w:rsidR="00E303D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mm</w:t>
            </w:r>
          </w:p>
        </w:tc>
      </w:tr>
      <w:tr w:rsidR="0089662C" w:rsidRPr="00AC3A53" w:rsidTr="00125FA0">
        <w:trPr>
          <w:trHeight w:val="27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62C" w:rsidRDefault="0089662C" w:rsidP="0089662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31.8 – 31-9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62C" w:rsidRDefault="0089662C" w:rsidP="0089662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Z</w:t>
            </w:r>
            <w:r w:rsidRPr="008E64C1">
              <w:rPr>
                <w:rFonts w:eastAsia="Times New Roman" w:cs="Calibri"/>
                <w:color w:val="000000"/>
                <w:lang w:eastAsia="cs-CZ"/>
              </w:rPr>
              <w:t>jednodušení řešení na úkor vyšších posunů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do 84</w:t>
            </w:r>
            <w:r w:rsidR="00E303D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mm</w:t>
            </w:r>
          </w:p>
        </w:tc>
      </w:tr>
      <w:tr w:rsidR="0089662C" w:rsidRPr="00AC3A53" w:rsidTr="00125FA0">
        <w:trPr>
          <w:trHeight w:val="288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62C" w:rsidRDefault="0089662C" w:rsidP="0089662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32.3 – 32.6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662C" w:rsidRDefault="0089662C" w:rsidP="0089662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Z</w:t>
            </w:r>
            <w:r w:rsidRPr="008E64C1">
              <w:rPr>
                <w:rFonts w:eastAsia="Times New Roman" w:cs="Calibri"/>
                <w:color w:val="000000"/>
                <w:lang w:eastAsia="cs-CZ"/>
              </w:rPr>
              <w:t>jednodušení řešení na úkor vyšších posunů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do 119</w:t>
            </w:r>
            <w:r w:rsidR="00E303D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mm</w:t>
            </w:r>
          </w:p>
        </w:tc>
      </w:tr>
      <w:tr w:rsidR="00442F01" w:rsidRPr="00AC3A53" w:rsidTr="0010241E">
        <w:trPr>
          <w:trHeight w:val="833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5B7E" w:rsidRDefault="00995B7E" w:rsidP="00F912D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442F01" w:rsidRPr="00AC3A53" w:rsidRDefault="00F912D5" w:rsidP="00F912D5">
            <w:pPr>
              <w:spacing w:after="0" w:line="240" w:lineRule="auto"/>
              <w:rPr>
                <w:rFonts w:eastAsia="Times New Roman" w:cs="Calibri"/>
                <w:color w:val="000000"/>
                <w:highlight w:val="yellow"/>
                <w:lang w:eastAsia="cs-CZ"/>
              </w:rPr>
            </w:pPr>
            <w:r w:rsidRPr="00F912D5">
              <w:rPr>
                <w:rFonts w:eastAsia="Times New Roman" w:cs="Calibri"/>
                <w:color w:val="000000"/>
                <w:lang w:eastAsia="cs-CZ"/>
              </w:rPr>
              <w:t>33.85</w:t>
            </w:r>
            <w:r w:rsidR="00442F01" w:rsidRPr="00F912D5">
              <w:rPr>
                <w:rFonts w:eastAsia="Times New Roman" w:cs="Calibri"/>
                <w:color w:val="000000"/>
                <w:lang w:eastAsia="cs-CZ"/>
              </w:rPr>
              <w:t xml:space="preserve"> - </w:t>
            </w:r>
            <w:r w:rsidRPr="00F912D5">
              <w:rPr>
                <w:rFonts w:eastAsia="Times New Roman" w:cs="Calibri"/>
                <w:color w:val="000000"/>
                <w:lang w:eastAsia="cs-CZ"/>
              </w:rPr>
              <w:t>34</w:t>
            </w:r>
            <w:r w:rsidR="00442F01" w:rsidRPr="00F912D5">
              <w:rPr>
                <w:rFonts w:eastAsia="Times New Roman" w:cs="Calibri"/>
                <w:color w:val="000000"/>
                <w:lang w:eastAsia="cs-CZ"/>
              </w:rPr>
              <w:t>.</w:t>
            </w:r>
            <w:r w:rsidRPr="00F912D5">
              <w:rPr>
                <w:rFonts w:eastAsia="Times New Roman" w:cs="Calibri"/>
                <w:color w:val="000000"/>
                <w:lang w:eastAsia="cs-CZ"/>
              </w:rPr>
              <w:t>1</w:t>
            </w:r>
            <w:r w:rsidR="00442F01" w:rsidRPr="00F912D5">
              <w:rPr>
                <w:rFonts w:eastAsia="Times New Roman" w:cs="Calibri"/>
                <w:color w:val="000000"/>
                <w:lang w:eastAsia="cs-CZ"/>
              </w:rPr>
              <w:t>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F01" w:rsidRPr="00AC3A53" w:rsidRDefault="00F912D5" w:rsidP="00F912D5">
            <w:pPr>
              <w:spacing w:after="0" w:line="240" w:lineRule="auto"/>
              <w:rPr>
                <w:rFonts w:eastAsia="Times New Roman" w:cs="Calibri"/>
                <w:color w:val="000000"/>
                <w:highlight w:val="yellow"/>
                <w:lang w:eastAsia="cs-CZ"/>
              </w:rPr>
            </w:pPr>
            <w:r w:rsidRPr="008E64C1">
              <w:rPr>
                <w:rFonts w:eastAsia="Times New Roman" w:cs="Calibri"/>
                <w:color w:val="000000"/>
                <w:lang w:eastAsia="cs-CZ"/>
              </w:rPr>
              <w:t>Vloženy 1 oblouk z důvodu zjednodušení řeš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ení na úkor vyšších posunů </w:t>
            </w:r>
            <w:r w:rsidR="00E303D2">
              <w:rPr>
                <w:rFonts w:eastAsia="Times New Roman" w:cs="Calibri"/>
                <w:color w:val="000000"/>
                <w:lang w:eastAsia="cs-CZ"/>
              </w:rPr>
              <w:t>do 174 mm</w:t>
            </w:r>
          </w:p>
        </w:tc>
      </w:tr>
      <w:tr w:rsidR="002D55FD" w:rsidRPr="00AC3A53" w:rsidTr="00125FA0">
        <w:trPr>
          <w:trHeight w:val="553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5FA0" w:rsidRDefault="00125FA0" w:rsidP="00F912D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125FA0" w:rsidRDefault="00125FA0" w:rsidP="00F912D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2D55FD" w:rsidRDefault="002D55FD" w:rsidP="00F912D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34.1 – 34.2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55FD" w:rsidRPr="008E64C1" w:rsidRDefault="002D55FD" w:rsidP="002D55FD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Z</w:t>
            </w:r>
            <w:r w:rsidRPr="008E64C1">
              <w:rPr>
                <w:rFonts w:eastAsia="Times New Roman" w:cs="Calibri"/>
                <w:color w:val="000000"/>
                <w:lang w:eastAsia="cs-CZ"/>
              </w:rPr>
              <w:t>jednodušení</w:t>
            </w:r>
            <w:bookmarkStart w:id="2" w:name="_GoBack"/>
            <w:r w:rsidRPr="008E64C1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bookmarkEnd w:id="2"/>
            <w:r w:rsidRPr="008E64C1">
              <w:rPr>
                <w:rFonts w:eastAsia="Times New Roman" w:cs="Calibri"/>
                <w:color w:val="000000"/>
                <w:lang w:eastAsia="cs-CZ"/>
              </w:rPr>
              <w:t>řešení na úkor vyšších posunů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do 18</w:t>
            </w:r>
            <w:r w:rsidR="00E303D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mm ve výhybce</w:t>
            </w:r>
          </w:p>
        </w:tc>
      </w:tr>
      <w:tr w:rsidR="00162FEA" w:rsidRPr="00AC3A53" w:rsidTr="0010241E">
        <w:trPr>
          <w:trHeight w:val="833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2FEA" w:rsidRDefault="00162FEA" w:rsidP="00F912D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E303D2" w:rsidRDefault="00E303D2" w:rsidP="00F912D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162FEA" w:rsidRDefault="00162FEA" w:rsidP="00F912D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34.3</w:t>
            </w:r>
            <w:r w:rsidR="00E348DF">
              <w:rPr>
                <w:rFonts w:eastAsia="Times New Roman" w:cs="Calibri"/>
                <w:color w:val="000000"/>
                <w:lang w:eastAsia="cs-CZ"/>
              </w:rPr>
              <w:t xml:space="preserve"> – 34.</w:t>
            </w:r>
            <w:r w:rsidR="00E303D2">
              <w:rPr>
                <w:rFonts w:eastAsia="Times New Roman" w:cs="Calibri"/>
                <w:color w:val="000000"/>
                <w:lang w:eastAsia="cs-CZ"/>
              </w:rPr>
              <w:t>8</w:t>
            </w:r>
            <w:r w:rsidR="00E348DF">
              <w:rPr>
                <w:rFonts w:eastAsia="Times New Roman" w:cs="Calibri"/>
                <w:color w:val="000000"/>
                <w:lang w:eastAsia="cs-CZ"/>
              </w:rPr>
              <w:t>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FEA" w:rsidRDefault="00162FEA" w:rsidP="00162FE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Z</w:t>
            </w:r>
            <w:r w:rsidRPr="008E64C1">
              <w:rPr>
                <w:rFonts w:eastAsia="Times New Roman" w:cs="Calibri"/>
                <w:color w:val="000000"/>
                <w:lang w:eastAsia="cs-CZ"/>
              </w:rPr>
              <w:t>jednodušení řešení na úkor vyšších posunů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do </w:t>
            </w:r>
            <w:r w:rsidR="00E303D2">
              <w:rPr>
                <w:rFonts w:eastAsia="Times New Roman" w:cs="Calibri"/>
                <w:color w:val="000000"/>
                <w:lang w:eastAsia="cs-CZ"/>
              </w:rPr>
              <w:t>10</w:t>
            </w:r>
            <w:r w:rsidRPr="00162FEA">
              <w:rPr>
                <w:rFonts w:eastAsia="Times New Roman" w:cs="Calibri"/>
                <w:color w:val="000000"/>
                <w:lang w:eastAsia="cs-CZ"/>
              </w:rPr>
              <w:t>5</w:t>
            </w:r>
            <w:r w:rsidR="00E303D2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162FEA">
              <w:rPr>
                <w:rFonts w:eastAsia="Times New Roman" w:cs="Calibri"/>
                <w:color w:val="000000"/>
                <w:lang w:eastAsia="cs-CZ"/>
              </w:rPr>
              <w:t>mm z</w:t>
            </w:r>
            <w:r>
              <w:rPr>
                <w:rFonts w:eastAsia="Times New Roman" w:cs="Calibri"/>
                <w:color w:val="000000"/>
                <w:lang w:eastAsia="cs-CZ"/>
              </w:rPr>
              <w:t> </w:t>
            </w:r>
            <w:r w:rsidRPr="00162FEA">
              <w:rPr>
                <w:rFonts w:eastAsia="Times New Roman" w:cs="Calibri"/>
                <w:color w:val="000000"/>
                <w:lang w:eastAsia="cs-CZ"/>
              </w:rPr>
              <w:t>důvodu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méně </w:t>
            </w:r>
            <w:proofErr w:type="spellStart"/>
            <w:r>
              <w:rPr>
                <w:rFonts w:eastAsia="Times New Roman" w:cs="Calibri"/>
                <w:color w:val="000000"/>
                <w:lang w:eastAsia="cs-CZ"/>
              </w:rPr>
              <w:t>vyr</w:t>
            </w:r>
            <w:proofErr w:type="spellEnd"/>
            <w:r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  <w:proofErr w:type="spellStart"/>
            <w:r>
              <w:rPr>
                <w:rFonts w:eastAsia="Times New Roman" w:cs="Calibri"/>
                <w:color w:val="000000"/>
                <w:lang w:eastAsia="cs-CZ"/>
              </w:rPr>
              <w:t>obl</w:t>
            </w:r>
            <w:proofErr w:type="spellEnd"/>
            <w:r>
              <w:rPr>
                <w:rFonts w:eastAsia="Times New Roman" w:cs="Calibri"/>
                <w:color w:val="000000"/>
                <w:lang w:eastAsia="cs-CZ"/>
              </w:rPr>
              <w:t>.</w:t>
            </w:r>
          </w:p>
        </w:tc>
      </w:tr>
      <w:tr w:rsidR="00E303D2" w:rsidRPr="00AC3A53" w:rsidTr="00125FA0">
        <w:trPr>
          <w:trHeight w:val="150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3D2" w:rsidRDefault="00E303D2" w:rsidP="00F912D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  <w:p w:rsidR="00E303D2" w:rsidRDefault="00E303D2" w:rsidP="00F912D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35.95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3D2" w:rsidRDefault="00E303D2" w:rsidP="00E303D2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Z</w:t>
            </w:r>
            <w:r w:rsidRPr="008E64C1">
              <w:rPr>
                <w:rFonts w:eastAsia="Times New Roman" w:cs="Calibri"/>
                <w:color w:val="000000"/>
                <w:lang w:eastAsia="cs-CZ"/>
              </w:rPr>
              <w:t>jednodušení řešení na úkor vyšších posunů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do 74 mm</w:t>
            </w:r>
          </w:p>
        </w:tc>
      </w:tr>
    </w:tbl>
    <w:p w:rsidR="00442F01" w:rsidRPr="00AC3A53" w:rsidRDefault="00442F01" w:rsidP="006725E2">
      <w:pPr>
        <w:pStyle w:val="Zkladntext"/>
        <w:ind w:firstLine="0"/>
        <w:jc w:val="both"/>
        <w:rPr>
          <w:highlight w:val="yellow"/>
        </w:rPr>
      </w:pPr>
    </w:p>
    <w:p w:rsidR="00715AEB" w:rsidRPr="00386221" w:rsidRDefault="00715AEB">
      <w:pPr>
        <w:pStyle w:val="Nadpis3"/>
        <w:numPr>
          <w:ilvl w:val="0"/>
          <w:numId w:val="2"/>
        </w:numPr>
      </w:pPr>
      <w:r w:rsidRPr="00386221">
        <w:t>Výškové řešení</w:t>
      </w:r>
    </w:p>
    <w:p w:rsidR="00004168" w:rsidRPr="00AC3A53" w:rsidRDefault="00B8071E" w:rsidP="00780BC7">
      <w:pPr>
        <w:pStyle w:val="Zkladntext"/>
        <w:jc w:val="both"/>
        <w:rPr>
          <w:highlight w:val="yellow"/>
        </w:rPr>
      </w:pPr>
      <w:r w:rsidRPr="00386221">
        <w:t>Návrh výškového řešení vychází ze stávajícího stavu dle zaměření a z požadavků na co nejmenší zdvihy</w:t>
      </w:r>
      <w:r w:rsidR="00F80B22" w:rsidRPr="00386221">
        <w:t xml:space="preserve"> a poklesy </w:t>
      </w:r>
      <w:r w:rsidRPr="00386221">
        <w:t>koleje oproti stávajícímu stavu. Dle požadavku objednatele j</w:t>
      </w:r>
      <w:r w:rsidR="004674BC" w:rsidRPr="00386221">
        <w:t>e</w:t>
      </w:r>
      <w:r w:rsidRPr="00386221">
        <w:t xml:space="preserve"> v místě pevných překážek, jako jsou výhybky, mosty bez průběžného štěrkového lože a přejezdy </w:t>
      </w:r>
      <w:r w:rsidR="004674BC" w:rsidRPr="00386221">
        <w:t xml:space="preserve">respektován </w:t>
      </w:r>
      <w:r w:rsidRPr="00386221">
        <w:t>limit</w:t>
      </w:r>
      <w:r w:rsidR="004674BC" w:rsidRPr="00386221">
        <w:t xml:space="preserve"> </w:t>
      </w:r>
      <w:r w:rsidR="00F66D6D" w:rsidRPr="00386221">
        <w:t>pro max. zdvih do 10</w:t>
      </w:r>
      <w:r w:rsidR="004674BC" w:rsidRPr="00386221">
        <w:t> </w:t>
      </w:r>
      <w:r w:rsidRPr="00386221">
        <w:t xml:space="preserve">mm a max. zahloubení do 10 mm. </w:t>
      </w:r>
    </w:p>
    <w:p w:rsidR="00F66D6D" w:rsidRPr="00ED783D" w:rsidRDefault="00004168" w:rsidP="00A569B7">
      <w:pPr>
        <w:pStyle w:val="Zkladntext"/>
        <w:jc w:val="both"/>
      </w:pPr>
      <w:r w:rsidRPr="00386221">
        <w:t xml:space="preserve">V místech mimo pevné překážky byl objednatelem stanoven limit pro max. zdvih </w:t>
      </w:r>
      <w:r w:rsidRPr="00386221">
        <w:rPr>
          <w:b/>
        </w:rPr>
        <w:t xml:space="preserve">do </w:t>
      </w:r>
      <w:r w:rsidR="00F66D6D" w:rsidRPr="00386221">
        <w:rPr>
          <w:b/>
        </w:rPr>
        <w:t>60</w:t>
      </w:r>
      <w:r w:rsidRPr="00386221">
        <w:rPr>
          <w:b/>
        </w:rPr>
        <w:t> mm</w:t>
      </w:r>
      <w:r w:rsidRPr="00386221">
        <w:t xml:space="preserve"> a max. </w:t>
      </w:r>
      <w:r w:rsidR="00F66D6D" w:rsidRPr="00386221">
        <w:rPr>
          <w:b/>
        </w:rPr>
        <w:t>zahloubení do 10</w:t>
      </w:r>
      <w:r w:rsidRPr="00386221">
        <w:rPr>
          <w:b/>
        </w:rPr>
        <w:t xml:space="preserve"> mm</w:t>
      </w:r>
      <w:r w:rsidRPr="00386221">
        <w:t>.</w:t>
      </w:r>
      <w:r w:rsidR="00F66D6D" w:rsidRPr="00386221">
        <w:t xml:space="preserve"> Překročení limitu 60 mm je zdůvodněno </w:t>
      </w:r>
      <w:r w:rsidR="00F66D6D" w:rsidRPr="00ED783D">
        <w:t>v TZ.</w:t>
      </w:r>
    </w:p>
    <w:p w:rsidR="00B8071E" w:rsidRPr="00ED783D" w:rsidRDefault="00B8071E" w:rsidP="00780BC7">
      <w:pPr>
        <w:pStyle w:val="Zkladntext"/>
        <w:jc w:val="both"/>
      </w:pPr>
      <w:r w:rsidRPr="00ED783D">
        <w:t>Údaje uvedené v nákresných přehledech byly z</w:t>
      </w:r>
      <w:r w:rsidR="00A569B7" w:rsidRPr="00ED783D">
        <w:t>ohledněny pouze minimálně, proto</w:t>
      </w:r>
      <w:r w:rsidRPr="00ED783D">
        <w:t>že neodpovídají stávajícímu stavu</w:t>
      </w:r>
      <w:r w:rsidR="005F7541" w:rsidRPr="00ED783D">
        <w:t xml:space="preserve"> tratě</w:t>
      </w:r>
      <w:r w:rsidRPr="00ED783D">
        <w:t xml:space="preserve"> dle zaměření ani požadavkům na nový stav (</w:t>
      </w:r>
      <w:r w:rsidRPr="00ED783D">
        <w:rPr>
          <w:b/>
        </w:rPr>
        <w:t>zejména omezení zdv</w:t>
      </w:r>
      <w:r w:rsidR="005F7541" w:rsidRPr="00ED783D">
        <w:rPr>
          <w:b/>
        </w:rPr>
        <w:t>ihů v místě pevných překážek</w:t>
      </w:r>
      <w:r w:rsidR="005F7541" w:rsidRPr="00ED783D">
        <w:t>).</w:t>
      </w:r>
    </w:p>
    <w:p w:rsidR="00701023" w:rsidRPr="001C3450" w:rsidRDefault="00701023" w:rsidP="00701023">
      <w:pPr>
        <w:pStyle w:val="Zkladntext"/>
        <w:jc w:val="both"/>
      </w:pPr>
      <w:r w:rsidRPr="001C3450">
        <w:t>Vzdálenost lomů nivelety odpovídá stavu tratě a požadavku na minimalizaci zdvihů a poklesů nivelety, což místy vede na malé vzdálenosti mezi lomy nivelety.</w:t>
      </w:r>
      <w:r w:rsidR="00A03C3A" w:rsidRPr="001C3450">
        <w:t xml:space="preserve"> Dalším limitem pro návrh byla snaha vymístit lomy sklonů mimo vzestupnice</w:t>
      </w:r>
      <w:r w:rsidR="00857FEA" w:rsidRPr="001C3450">
        <w:t xml:space="preserve"> a zaoblení lomu sklonů mimo pevné překážky</w:t>
      </w:r>
      <w:r w:rsidR="00A03C3A" w:rsidRPr="001C3450">
        <w:t>.</w:t>
      </w:r>
      <w:r w:rsidRPr="001C3450">
        <w:t xml:space="preserve"> Pokles nivelety se vzhledem k jeho realizovatelnosti navrhuje pouze minimálně. </w:t>
      </w:r>
    </w:p>
    <w:p w:rsidR="00643BF8" w:rsidRPr="001C3450" w:rsidRDefault="00F66D6D" w:rsidP="00780BC7">
      <w:pPr>
        <w:pStyle w:val="Zkladntext"/>
        <w:jc w:val="both"/>
      </w:pPr>
      <w:r w:rsidRPr="001C3450">
        <w:t>Běžný poloměr</w:t>
      </w:r>
      <w:r w:rsidR="00A03C3A" w:rsidRPr="001C3450">
        <w:t xml:space="preserve"> výškové</w:t>
      </w:r>
      <w:r w:rsidR="00A569B7" w:rsidRPr="001C3450">
        <w:t xml:space="preserve">ho zakružovacího oblouku je od 5000m, ve stísněných </w:t>
      </w:r>
      <w:r w:rsidR="005A7F2E" w:rsidRPr="001C3450">
        <w:t>poměrech snížen poloměr až na 1</w:t>
      </w:r>
      <w:r w:rsidR="001C3450" w:rsidRPr="001C3450">
        <w:t>0</w:t>
      </w:r>
      <w:r w:rsidR="00A569B7" w:rsidRPr="001C3450">
        <w:t>00m, v případě</w:t>
      </w:r>
      <w:r w:rsidR="005A7F2E" w:rsidRPr="001C3450">
        <w:t xml:space="preserve"> potřeby lokálně zvýšen až na </w:t>
      </w:r>
      <w:r w:rsidR="001C3450" w:rsidRPr="001C3450">
        <w:t>58</w:t>
      </w:r>
      <w:r w:rsidR="00A569B7" w:rsidRPr="001C3450">
        <w:t>00m.</w:t>
      </w:r>
    </w:p>
    <w:p w:rsidR="003005EA" w:rsidRPr="00AC3A53" w:rsidRDefault="00493589" w:rsidP="003005EA">
      <w:pPr>
        <w:pStyle w:val="Zkladntext"/>
        <w:jc w:val="both"/>
        <w:rPr>
          <w:highlight w:val="yellow"/>
        </w:rPr>
      </w:pPr>
      <w:r w:rsidRPr="00125FA0">
        <w:t xml:space="preserve">Na začátku řešeného úseku navazuje </w:t>
      </w:r>
      <w:r w:rsidR="00A569B7" w:rsidRPr="00125FA0">
        <w:t xml:space="preserve">niveleta na </w:t>
      </w:r>
      <w:r w:rsidRPr="00125FA0">
        <w:t xml:space="preserve">výškové řešení </w:t>
      </w:r>
      <w:r w:rsidR="00A569B7" w:rsidRPr="00125FA0">
        <w:t xml:space="preserve">stávajícího projektu </w:t>
      </w:r>
      <w:r w:rsidR="00125FA0" w:rsidRPr="00125FA0">
        <w:t>Rekonstrukce trati Liberec-Tanvald</w:t>
      </w:r>
      <w:r w:rsidR="005A7F2E" w:rsidRPr="00125FA0">
        <w:t xml:space="preserve">. </w:t>
      </w:r>
    </w:p>
    <w:p w:rsidR="003005EA" w:rsidRPr="00AC3A53" w:rsidRDefault="003005EA" w:rsidP="0010241E">
      <w:pPr>
        <w:pStyle w:val="Zkladntext"/>
        <w:ind w:firstLine="0"/>
        <w:jc w:val="both"/>
        <w:rPr>
          <w:highlight w:val="yellow"/>
        </w:rPr>
      </w:pPr>
    </w:p>
    <w:p w:rsidR="005E0D9A" w:rsidRPr="00C9128B" w:rsidRDefault="005E0D9A" w:rsidP="005E0D9A">
      <w:pPr>
        <w:pStyle w:val="Zkladntext"/>
        <w:ind w:firstLine="0"/>
        <w:jc w:val="both"/>
        <w:rPr>
          <w:b/>
        </w:rPr>
      </w:pPr>
      <w:r w:rsidRPr="00C9128B">
        <w:rPr>
          <w:b/>
        </w:rPr>
        <w:t>Tabulka nedodržení stanovených limitů zdvihů, které byly projednány: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345"/>
      </w:tblGrid>
      <w:tr w:rsidR="0010241E" w:rsidRPr="00AC3A53" w:rsidTr="00125FA0">
        <w:trPr>
          <w:trHeight w:val="26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41E" w:rsidRPr="00125FA0" w:rsidRDefault="00125FA0" w:rsidP="0010241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28,9</w:t>
            </w:r>
            <w:r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– 29,0</w:t>
            </w:r>
            <w:r>
              <w:rPr>
                <w:color w:val="000000"/>
              </w:rPr>
              <w:t>0</w:t>
            </w:r>
          </w:p>
        </w:tc>
        <w:tc>
          <w:tcPr>
            <w:tcW w:w="7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41E" w:rsidRPr="00125FA0" w:rsidRDefault="00125FA0" w:rsidP="00125FA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navrženo oblouk uprostřed výhybky č. 5 a 7 </w:t>
            </w:r>
            <w:r>
              <w:rPr>
                <w:color w:val="000000"/>
              </w:rPr>
              <w:t>o poloměru zakrývající výhybku.</w:t>
            </w:r>
          </w:p>
        </w:tc>
      </w:tr>
      <w:tr w:rsidR="0010241E" w:rsidRPr="00AC3A53" w:rsidTr="0010241E">
        <w:trPr>
          <w:trHeight w:val="6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41E" w:rsidRPr="00125FA0" w:rsidRDefault="00125FA0" w:rsidP="0010241E">
            <w:pPr>
              <w:spacing w:after="0" w:line="240" w:lineRule="auto"/>
              <w:rPr>
                <w:color w:val="000000"/>
              </w:rPr>
            </w:pPr>
            <w:r w:rsidRPr="00125FA0">
              <w:rPr>
                <w:color w:val="000000"/>
              </w:rPr>
              <w:t>30,0 – 30,1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41E" w:rsidRPr="00125FA0" w:rsidRDefault="00125FA0" w:rsidP="0010241E">
            <w:pPr>
              <w:spacing w:after="0" w:line="240" w:lineRule="auto"/>
              <w:rPr>
                <w:color w:val="000000"/>
              </w:rPr>
            </w:pPr>
            <w:r w:rsidRPr="00125FA0">
              <w:rPr>
                <w:color w:val="000000"/>
              </w:rPr>
              <w:t>Zjednodušení – Sz-P-L_zjednoduseni.png – je tam mezi přímá 6,7255 a zdvihy asi 80mm</w:t>
            </w:r>
            <w:r w:rsidR="0010241E" w:rsidRPr="00125FA0">
              <w:rPr>
                <w:color w:val="000000"/>
              </w:rPr>
              <w:t xml:space="preserve"> </w:t>
            </w:r>
          </w:p>
        </w:tc>
      </w:tr>
      <w:tr w:rsidR="00125FA0" w:rsidRPr="00AC3A53" w:rsidTr="00125FA0">
        <w:trPr>
          <w:trHeight w:val="224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5FA0" w:rsidRPr="00125FA0" w:rsidRDefault="00125FA0" w:rsidP="0010241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34,15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FA0" w:rsidRPr="00125FA0" w:rsidRDefault="00125FA0" w:rsidP="0010241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navrženo oblouk uprostřed výhybky č. 1 o poloměru zakrývající výhybku</w:t>
            </w:r>
          </w:p>
        </w:tc>
      </w:tr>
      <w:tr w:rsidR="0010241E" w:rsidRPr="00AC3A53" w:rsidTr="0010241E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41E" w:rsidRPr="00125FA0" w:rsidRDefault="00125FA0" w:rsidP="0010241E">
            <w:pPr>
              <w:spacing w:after="0" w:line="240" w:lineRule="auto"/>
              <w:rPr>
                <w:color w:val="000000"/>
              </w:rPr>
            </w:pPr>
            <w:r w:rsidRPr="00125FA0">
              <w:rPr>
                <w:color w:val="000000"/>
              </w:rPr>
              <w:t>30,55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41E" w:rsidRPr="00125FA0" w:rsidRDefault="00125FA0" w:rsidP="0010241E">
            <w:pPr>
              <w:spacing w:after="0" w:line="240" w:lineRule="auto"/>
              <w:rPr>
                <w:color w:val="000000"/>
              </w:rPr>
            </w:pPr>
            <w:r w:rsidRPr="00125FA0">
              <w:rPr>
                <w:color w:val="000000"/>
              </w:rPr>
              <w:t>zdvih 125mm kvůli dodržení minimálního poloměru 2000 m, a také existující přechodnici</w:t>
            </w:r>
          </w:p>
        </w:tc>
      </w:tr>
      <w:tr w:rsidR="0010241E" w:rsidRPr="00AC3A53" w:rsidTr="0010241E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41E" w:rsidRPr="00125FA0" w:rsidRDefault="00125FA0" w:rsidP="0010241E">
            <w:pPr>
              <w:spacing w:after="0" w:line="240" w:lineRule="auto"/>
              <w:rPr>
                <w:color w:val="000000"/>
              </w:rPr>
            </w:pPr>
            <w:r w:rsidRPr="00125FA0">
              <w:rPr>
                <w:color w:val="000000"/>
              </w:rPr>
              <w:t>37,212 892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41E" w:rsidRPr="00125FA0" w:rsidRDefault="00125FA0" w:rsidP="0010241E">
            <w:pPr>
              <w:spacing w:after="0" w:line="240" w:lineRule="auto"/>
              <w:rPr>
                <w:color w:val="000000"/>
              </w:rPr>
            </w:pPr>
            <w:r w:rsidRPr="00125FA0">
              <w:rPr>
                <w:color w:val="000000"/>
              </w:rPr>
              <w:t>V navazujícím projektu je chyba, tak opraveno řešení projektu (jen niveletu). Zásah od LN km 37,212 892</w:t>
            </w:r>
          </w:p>
        </w:tc>
      </w:tr>
    </w:tbl>
    <w:p w:rsidR="005E0D9A" w:rsidRPr="00AC3A53" w:rsidRDefault="005E0D9A" w:rsidP="005E0D9A">
      <w:pPr>
        <w:pStyle w:val="Zkladntext"/>
        <w:ind w:firstLine="0"/>
        <w:jc w:val="both"/>
        <w:rPr>
          <w:b/>
          <w:highlight w:val="yellow"/>
        </w:rPr>
      </w:pPr>
    </w:p>
    <w:p w:rsidR="00715AEB" w:rsidRPr="00026E4B" w:rsidRDefault="00715AEB">
      <w:pPr>
        <w:pStyle w:val="Nadpis3"/>
        <w:numPr>
          <w:ilvl w:val="0"/>
          <w:numId w:val="2"/>
        </w:numPr>
      </w:pPr>
      <w:r w:rsidRPr="00026E4B">
        <w:t>Staničení</w:t>
      </w:r>
    </w:p>
    <w:p w:rsidR="004149F9" w:rsidRPr="00AC3A53" w:rsidRDefault="00715AEB" w:rsidP="005E0D9A">
      <w:pPr>
        <w:pStyle w:val="Zkladntext"/>
        <w:jc w:val="both"/>
        <w:rPr>
          <w:highlight w:val="yellow"/>
        </w:rPr>
      </w:pPr>
      <w:r w:rsidRPr="00026E4B">
        <w:t>Projektové staničení úseku</w:t>
      </w:r>
      <w:r w:rsidR="00FA166E" w:rsidRPr="00026E4B">
        <w:t xml:space="preserve"> </w:t>
      </w:r>
      <w:r w:rsidRPr="00026E4B">
        <w:t xml:space="preserve">je </w:t>
      </w:r>
      <w:r w:rsidR="00FA166E" w:rsidRPr="00026E4B">
        <w:t xml:space="preserve">dle zadání </w:t>
      </w:r>
      <w:r w:rsidRPr="00026E4B">
        <w:t xml:space="preserve">vztaženo </w:t>
      </w:r>
      <w:r w:rsidR="00026E4B" w:rsidRPr="00026E4B">
        <w:t>na existující projekt Rekonstrukce trati Liberec-Tanvald</w:t>
      </w:r>
      <w:r w:rsidR="00026E4B" w:rsidRPr="00F506BB">
        <w:t xml:space="preserve"> v km 27,6</w:t>
      </w:r>
      <w:r w:rsidR="00FF6D2C" w:rsidRPr="00C9128B">
        <w:t xml:space="preserve">. </w:t>
      </w:r>
    </w:p>
    <w:p w:rsidR="00715AEB" w:rsidRPr="009E33D2" w:rsidRDefault="00715AEB">
      <w:pPr>
        <w:pStyle w:val="Nadpis3"/>
        <w:numPr>
          <w:ilvl w:val="0"/>
          <w:numId w:val="2"/>
        </w:numPr>
      </w:pPr>
      <w:r w:rsidRPr="009E33D2">
        <w:t>Geodetické zaměření</w:t>
      </w:r>
    </w:p>
    <w:p w:rsidR="00EC29B9" w:rsidRPr="009E33D2" w:rsidRDefault="00715AEB" w:rsidP="004149F9">
      <w:pPr>
        <w:pStyle w:val="Zkladntext"/>
        <w:jc w:val="both"/>
      </w:pPr>
      <w:r w:rsidRPr="009E33D2">
        <w:t xml:space="preserve">Zaměření bylo </w:t>
      </w:r>
      <w:r w:rsidR="005337DA" w:rsidRPr="009E33D2">
        <w:t xml:space="preserve">provedeno v systému S-JTSK a </w:t>
      </w:r>
      <w:proofErr w:type="spellStart"/>
      <w:r w:rsidR="005337DA" w:rsidRPr="009E33D2">
        <w:t>Bpv</w:t>
      </w:r>
      <w:proofErr w:type="spellEnd"/>
      <w:r w:rsidR="00E26844" w:rsidRPr="009E33D2">
        <w:t xml:space="preserve"> v</w:t>
      </w:r>
      <w:r w:rsidR="0074186D" w:rsidRPr="009E33D2">
        <w:t>e</w:t>
      </w:r>
      <w:r w:rsidR="00E26844" w:rsidRPr="009E33D2">
        <w:t> 2. třídě přesnosti</w:t>
      </w:r>
      <w:r w:rsidR="005337DA" w:rsidRPr="009E33D2">
        <w:t xml:space="preserve">. </w:t>
      </w:r>
    </w:p>
    <w:p w:rsidR="00715AEB" w:rsidRPr="009E33D2" w:rsidRDefault="00715AEB">
      <w:pPr>
        <w:pStyle w:val="Nadpis3"/>
        <w:numPr>
          <w:ilvl w:val="0"/>
          <w:numId w:val="2"/>
        </w:numPr>
      </w:pPr>
      <w:r w:rsidRPr="009E33D2">
        <w:t>Závěr</w:t>
      </w:r>
    </w:p>
    <w:p w:rsidR="0020172A" w:rsidRPr="009E33D2" w:rsidRDefault="00FF6D2C" w:rsidP="007446C3">
      <w:pPr>
        <w:pStyle w:val="Zkladntext"/>
        <w:jc w:val="both"/>
      </w:pPr>
      <w:r w:rsidRPr="009E33D2">
        <w:t xml:space="preserve">Na traťovém úseku jsou dodrženy minimální délky mezipřímé a kružnicových oblouků včetně sklonů vzestupnic a přechodnic.  </w:t>
      </w:r>
    </w:p>
    <w:p w:rsidR="00EC29B9" w:rsidRPr="009E33D2" w:rsidRDefault="00715AEB" w:rsidP="007446C3">
      <w:pPr>
        <w:pStyle w:val="Zkladntext"/>
        <w:jc w:val="both"/>
      </w:pPr>
      <w:r w:rsidRPr="009E33D2">
        <w:t xml:space="preserve">Úprava </w:t>
      </w:r>
      <w:r w:rsidR="0020172A" w:rsidRPr="009E33D2">
        <w:t xml:space="preserve">směrového řešení </w:t>
      </w:r>
      <w:r w:rsidRPr="009E33D2">
        <w:t>byla zpravidla provedena změnou délek přechodnic</w:t>
      </w:r>
      <w:r w:rsidR="00E26844" w:rsidRPr="009E33D2">
        <w:t xml:space="preserve"> a </w:t>
      </w:r>
      <w:r w:rsidRPr="009E33D2">
        <w:t>úpra</w:t>
      </w:r>
      <w:r w:rsidR="00EC29B9" w:rsidRPr="009E33D2">
        <w:t>vou poloměru směrových oblouků.</w:t>
      </w:r>
      <w:r w:rsidR="0020172A" w:rsidRPr="009E33D2">
        <w:t xml:space="preserve"> </w:t>
      </w:r>
    </w:p>
    <w:p w:rsidR="00E26844" w:rsidRPr="009E33D2" w:rsidRDefault="0020172A" w:rsidP="00D501AB">
      <w:pPr>
        <w:pStyle w:val="Zkladntext"/>
        <w:jc w:val="both"/>
      </w:pPr>
      <w:r w:rsidRPr="009E33D2">
        <w:t>Úprava výškového řešení spočívá v optimalizaci rozmístění l</w:t>
      </w:r>
      <w:r w:rsidR="00DF4BEF" w:rsidRPr="009E33D2">
        <w:t>om</w:t>
      </w:r>
      <w:r w:rsidRPr="009E33D2">
        <w:t>ů</w:t>
      </w:r>
      <w:r w:rsidR="00DF4BEF" w:rsidRPr="009E33D2">
        <w:t xml:space="preserve"> nivelety</w:t>
      </w:r>
      <w:r w:rsidRPr="009E33D2">
        <w:t xml:space="preserve"> tak, </w:t>
      </w:r>
      <w:r w:rsidR="00DF4BEF" w:rsidRPr="009E33D2">
        <w:t>aby zdvihy a poklesy oproti stávajícímu stavu byly minimalizovány</w:t>
      </w:r>
      <w:r w:rsidR="003005EA" w:rsidRPr="009E33D2">
        <w:t>,</w:t>
      </w:r>
      <w:r w:rsidR="001E242C" w:rsidRPr="009E33D2">
        <w:t xml:space="preserve"> a zároveň aby byly vymístěny ze vzestupnic a zaoblení lomu sklonů</w:t>
      </w:r>
      <w:r w:rsidRPr="009E33D2">
        <w:t xml:space="preserve"> bylo</w:t>
      </w:r>
      <w:r w:rsidR="001E242C" w:rsidRPr="009E33D2">
        <w:t xml:space="preserve"> mimo pevné překážky</w:t>
      </w:r>
      <w:r w:rsidR="00DF4BEF" w:rsidRPr="009E33D2">
        <w:t xml:space="preserve">. </w:t>
      </w:r>
    </w:p>
    <w:p w:rsidR="00715AEB" w:rsidRPr="009E33D2" w:rsidRDefault="00715AEB">
      <w:pPr>
        <w:pStyle w:val="Nadpis3"/>
        <w:numPr>
          <w:ilvl w:val="0"/>
          <w:numId w:val="2"/>
        </w:numPr>
      </w:pPr>
      <w:r w:rsidRPr="009E33D2">
        <w:t>Seznam použitých norem a předpisů</w:t>
      </w:r>
    </w:p>
    <w:p w:rsidR="00715AEB" w:rsidRPr="009E33D2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r w:rsidRPr="009E33D2">
        <w:t>ČSN 73 6360-1</w:t>
      </w:r>
      <w:r w:rsidR="0074186D" w:rsidRPr="009E33D2">
        <w:t xml:space="preserve"> </w:t>
      </w:r>
      <w:r w:rsidRPr="009E33D2">
        <w:t>Konstrukční a geometrické uspořádání koleje železničních drah a její prostorová poloha – Část 1: Projektování</w:t>
      </w:r>
    </w:p>
    <w:p w:rsidR="00715AEB" w:rsidRPr="009E33D2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r w:rsidRPr="009E33D2">
        <w:t>ČSN 73 4959</w:t>
      </w:r>
      <w:r w:rsidR="0074186D" w:rsidRPr="009E33D2">
        <w:t xml:space="preserve"> </w:t>
      </w:r>
      <w:r w:rsidRPr="009E33D2">
        <w:t>Nástupiště a nástupištní přístřešky na drahách celostátních, regionálních a vlečkách</w:t>
      </w:r>
    </w:p>
    <w:p w:rsidR="00715AEB" w:rsidRPr="009E33D2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r w:rsidRPr="009E33D2">
        <w:t>ČSN 73 6320</w:t>
      </w:r>
      <w:r w:rsidR="0074186D" w:rsidRPr="009E33D2">
        <w:t xml:space="preserve"> </w:t>
      </w:r>
      <w:r w:rsidRPr="009E33D2">
        <w:t>Průjezdné průřezy na drahách celostátních, drahách regionálních a vlečkách normálního rozchodu</w:t>
      </w:r>
    </w:p>
    <w:p w:rsidR="00715AEB" w:rsidRPr="009E33D2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9E33D2">
        <w:t>ČSN 73 6380</w:t>
      </w:r>
      <w:r w:rsidR="0074186D" w:rsidRPr="009E33D2">
        <w:t xml:space="preserve"> </w:t>
      </w:r>
      <w:r w:rsidRPr="009E33D2">
        <w:t>Železniční přejezdy a přechody</w:t>
      </w:r>
    </w:p>
    <w:p w:rsidR="00715AEB" w:rsidRPr="009E33D2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9E33D2">
        <w:t>Technické kvalitativní podmínky staveb státních drah (v platném znění)</w:t>
      </w:r>
    </w:p>
    <w:p w:rsidR="00715AEB" w:rsidRPr="009E33D2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9E33D2">
        <w:t>SŽDC S3</w:t>
      </w:r>
      <w:r w:rsidRPr="009E33D2">
        <w:tab/>
        <w:t>Železniční svršek</w:t>
      </w:r>
    </w:p>
    <w:p w:rsidR="00715AEB" w:rsidRPr="009E33D2" w:rsidRDefault="00715AE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9E33D2">
        <w:lastRenderedPageBreak/>
        <w:t>SŽDC S4</w:t>
      </w:r>
      <w:r w:rsidRPr="009E33D2">
        <w:tab/>
        <w:t>Železniční spodek</w:t>
      </w:r>
    </w:p>
    <w:p w:rsidR="0040732C" w:rsidRPr="009E33D2" w:rsidRDefault="00043847" w:rsidP="00D501AB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ind w:left="360"/>
      </w:pPr>
      <w:r w:rsidRPr="009E33D2">
        <w:t>Dispoziční plány a geometrické uspořádání výhybek</w:t>
      </w:r>
    </w:p>
    <w:p w:rsidR="009E7890" w:rsidRPr="009E33D2" w:rsidRDefault="009E7890" w:rsidP="009E7890">
      <w:pPr>
        <w:pStyle w:val="Nadpis3"/>
        <w:numPr>
          <w:ilvl w:val="0"/>
          <w:numId w:val="2"/>
        </w:numPr>
      </w:pPr>
      <w:r w:rsidRPr="009E33D2">
        <w:t>Použitý software</w:t>
      </w:r>
    </w:p>
    <w:p w:rsidR="00A53B2F" w:rsidRPr="009E33D2" w:rsidRDefault="00FF6D2C" w:rsidP="00A53B2F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proofErr w:type="spellStart"/>
      <w:r w:rsidRPr="009E33D2">
        <w:t>Autocad</w:t>
      </w:r>
      <w:proofErr w:type="spellEnd"/>
      <w:r w:rsidRPr="009E33D2">
        <w:t xml:space="preserve"> Civil 3D 2018 s nástavbou </w:t>
      </w:r>
      <w:proofErr w:type="spellStart"/>
      <w:r w:rsidRPr="009E33D2">
        <w:t>Railway</w:t>
      </w:r>
      <w:proofErr w:type="spellEnd"/>
      <w:r w:rsidRPr="009E33D2">
        <w:t xml:space="preserve"> </w:t>
      </w:r>
      <w:proofErr w:type="spellStart"/>
      <w:r w:rsidRPr="009E33D2">
        <w:t>Tools</w:t>
      </w:r>
      <w:proofErr w:type="spellEnd"/>
      <w:r w:rsidRPr="009E33D2">
        <w:t>.</w:t>
      </w:r>
    </w:p>
    <w:p w:rsidR="00715AEB" w:rsidRPr="009E33D2" w:rsidRDefault="009E7890" w:rsidP="007446C3">
      <w:pPr>
        <w:pStyle w:val="Zkladntext"/>
        <w:numPr>
          <w:ilvl w:val="0"/>
          <w:numId w:val="9"/>
        </w:numPr>
        <w:tabs>
          <w:tab w:val="clear" w:pos="720"/>
          <w:tab w:val="num" w:pos="360"/>
        </w:tabs>
        <w:spacing w:line="240" w:lineRule="auto"/>
        <w:ind w:left="360"/>
      </w:pPr>
      <w:r w:rsidRPr="009E33D2">
        <w:t>MS Office 201</w:t>
      </w:r>
      <w:r w:rsidR="00A53B2F" w:rsidRPr="009E33D2">
        <w:t>0</w:t>
      </w:r>
      <w:r w:rsidRPr="009E33D2">
        <w:t xml:space="preserve"> </w:t>
      </w:r>
    </w:p>
    <w:p w:rsidR="00715AEB" w:rsidRPr="009E33D2" w:rsidRDefault="00715AEB">
      <w:pPr>
        <w:pStyle w:val="Zkladntext"/>
        <w:ind w:firstLine="0"/>
      </w:pPr>
    </w:p>
    <w:p w:rsidR="00715AEB" w:rsidRDefault="00B70E19" w:rsidP="005F7541">
      <w:pPr>
        <w:pStyle w:val="Zkladntext"/>
        <w:ind w:firstLine="0"/>
      </w:pPr>
      <w:r w:rsidRPr="009E33D2">
        <w:t xml:space="preserve">V Praze </w:t>
      </w:r>
      <w:r w:rsidR="006F0956" w:rsidRPr="009E33D2">
        <w:t>11</w:t>
      </w:r>
      <w:r w:rsidR="00B43970" w:rsidRPr="009E33D2">
        <w:t>/</w:t>
      </w:r>
      <w:r w:rsidR="00715AEB" w:rsidRPr="009E33D2">
        <w:t>20</w:t>
      </w:r>
      <w:r w:rsidRPr="009E33D2">
        <w:t>1</w:t>
      </w:r>
      <w:r w:rsidR="00CA253E" w:rsidRPr="009E33D2">
        <w:t>9</w:t>
      </w:r>
      <w:r w:rsidR="00D06DA6" w:rsidRPr="009E33D2">
        <w:t xml:space="preserve"> </w:t>
      </w:r>
      <w:r w:rsidR="00715AEB" w:rsidRPr="009E33D2">
        <w:tab/>
      </w:r>
      <w:r w:rsidR="00715AEB" w:rsidRPr="009E33D2">
        <w:tab/>
      </w:r>
      <w:r w:rsidR="00715AEB" w:rsidRPr="009E33D2">
        <w:tab/>
      </w:r>
      <w:r w:rsidR="00715AEB" w:rsidRPr="009E33D2">
        <w:tab/>
      </w:r>
      <w:r w:rsidR="00715AEB" w:rsidRPr="009E33D2">
        <w:tab/>
        <w:t>Vypracoval</w:t>
      </w:r>
      <w:r w:rsidR="009E33D2" w:rsidRPr="009E33D2">
        <w:t>a</w:t>
      </w:r>
      <w:r w:rsidR="00715AEB" w:rsidRPr="009E33D2">
        <w:t xml:space="preserve">:  Ing. </w:t>
      </w:r>
      <w:r w:rsidR="009E33D2" w:rsidRPr="009E33D2">
        <w:t>Barbara Szawulak</w:t>
      </w:r>
    </w:p>
    <w:sectPr w:rsidR="00715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D171E"/>
    <w:multiLevelType w:val="hybridMultilevel"/>
    <w:tmpl w:val="956E06DC"/>
    <w:lvl w:ilvl="0" w:tplc="02F272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74F73"/>
    <w:multiLevelType w:val="hybridMultilevel"/>
    <w:tmpl w:val="67720AB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92C12"/>
    <w:multiLevelType w:val="hybridMultilevel"/>
    <w:tmpl w:val="DDB29EE2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3254659"/>
    <w:multiLevelType w:val="hybridMultilevel"/>
    <w:tmpl w:val="28C68E14"/>
    <w:lvl w:ilvl="0" w:tplc="470263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40355"/>
    <w:multiLevelType w:val="hybridMultilevel"/>
    <w:tmpl w:val="1ACE9E6E"/>
    <w:lvl w:ilvl="0" w:tplc="470263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34A35"/>
    <w:multiLevelType w:val="hybridMultilevel"/>
    <w:tmpl w:val="118CAC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2DC191D"/>
    <w:multiLevelType w:val="hybridMultilevel"/>
    <w:tmpl w:val="21F04BC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155F5"/>
    <w:multiLevelType w:val="hybridMultilevel"/>
    <w:tmpl w:val="BB2E72B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E1927"/>
    <w:multiLevelType w:val="hybridMultilevel"/>
    <w:tmpl w:val="50DA3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D203EE"/>
    <w:multiLevelType w:val="hybridMultilevel"/>
    <w:tmpl w:val="0024A80E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24E1328"/>
    <w:multiLevelType w:val="hybridMultilevel"/>
    <w:tmpl w:val="3EF2420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460749"/>
    <w:multiLevelType w:val="hybridMultilevel"/>
    <w:tmpl w:val="636CBA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065D0"/>
    <w:multiLevelType w:val="hybridMultilevel"/>
    <w:tmpl w:val="2BF025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FAB82A">
      <w:start w:val="1"/>
      <w:numFmt w:val="decimal"/>
      <w:lvlText w:val="%3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650E4C6C">
      <w:start w:val="201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1"/>
  </w:num>
  <w:num w:numId="5">
    <w:abstractNumId w:val="9"/>
  </w:num>
  <w:num w:numId="6">
    <w:abstractNumId w:val="7"/>
  </w:num>
  <w:num w:numId="7">
    <w:abstractNumId w:val="1"/>
  </w:num>
  <w:num w:numId="8">
    <w:abstractNumId w:val="10"/>
  </w:num>
  <w:num w:numId="9">
    <w:abstractNumId w:val="6"/>
  </w:num>
  <w:num w:numId="10">
    <w:abstractNumId w:val="3"/>
  </w:num>
  <w:num w:numId="11">
    <w:abstractNumId w:val="4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FE"/>
    <w:rsid w:val="00004168"/>
    <w:rsid w:val="0001022C"/>
    <w:rsid w:val="00026E4B"/>
    <w:rsid w:val="00033698"/>
    <w:rsid w:val="00037060"/>
    <w:rsid w:val="00043847"/>
    <w:rsid w:val="00044315"/>
    <w:rsid w:val="000524F9"/>
    <w:rsid w:val="00061FF6"/>
    <w:rsid w:val="00072121"/>
    <w:rsid w:val="00075D54"/>
    <w:rsid w:val="00085668"/>
    <w:rsid w:val="000940A6"/>
    <w:rsid w:val="000A52F1"/>
    <w:rsid w:val="000A5FD5"/>
    <w:rsid w:val="000B1BBC"/>
    <w:rsid w:val="000C100C"/>
    <w:rsid w:val="000C5FB0"/>
    <w:rsid w:val="000D15FB"/>
    <w:rsid w:val="000D64B7"/>
    <w:rsid w:val="000D6B28"/>
    <w:rsid w:val="000D70DD"/>
    <w:rsid w:val="000E0D8E"/>
    <w:rsid w:val="000F79AD"/>
    <w:rsid w:val="0010241E"/>
    <w:rsid w:val="00110C67"/>
    <w:rsid w:val="001112F7"/>
    <w:rsid w:val="0012124D"/>
    <w:rsid w:val="00122D91"/>
    <w:rsid w:val="00123FF1"/>
    <w:rsid w:val="00125473"/>
    <w:rsid w:val="00125FA0"/>
    <w:rsid w:val="00126DA4"/>
    <w:rsid w:val="00127D39"/>
    <w:rsid w:val="001416C4"/>
    <w:rsid w:val="001473F0"/>
    <w:rsid w:val="0015259A"/>
    <w:rsid w:val="00162155"/>
    <w:rsid w:val="00162FEA"/>
    <w:rsid w:val="0017443E"/>
    <w:rsid w:val="0018208A"/>
    <w:rsid w:val="001852C5"/>
    <w:rsid w:val="00193909"/>
    <w:rsid w:val="00195E1A"/>
    <w:rsid w:val="00197C4D"/>
    <w:rsid w:val="001A0515"/>
    <w:rsid w:val="001A42EA"/>
    <w:rsid w:val="001B024F"/>
    <w:rsid w:val="001B0D0C"/>
    <w:rsid w:val="001C3450"/>
    <w:rsid w:val="001D45EF"/>
    <w:rsid w:val="001E242C"/>
    <w:rsid w:val="001E7DEC"/>
    <w:rsid w:val="0020172A"/>
    <w:rsid w:val="00202EE7"/>
    <w:rsid w:val="002158CD"/>
    <w:rsid w:val="002223BB"/>
    <w:rsid w:val="002237F3"/>
    <w:rsid w:val="00234E7D"/>
    <w:rsid w:val="00250B38"/>
    <w:rsid w:val="00252EF0"/>
    <w:rsid w:val="00257A41"/>
    <w:rsid w:val="0026121C"/>
    <w:rsid w:val="00294A4D"/>
    <w:rsid w:val="002A2DCD"/>
    <w:rsid w:val="002A4D1C"/>
    <w:rsid w:val="002B0373"/>
    <w:rsid w:val="002C04B2"/>
    <w:rsid w:val="002C6605"/>
    <w:rsid w:val="002D1B22"/>
    <w:rsid w:val="002D40CD"/>
    <w:rsid w:val="002D55FD"/>
    <w:rsid w:val="002F045F"/>
    <w:rsid w:val="002F0D16"/>
    <w:rsid w:val="002F37AC"/>
    <w:rsid w:val="003005EA"/>
    <w:rsid w:val="0030352B"/>
    <w:rsid w:val="00306C46"/>
    <w:rsid w:val="00310182"/>
    <w:rsid w:val="003111ED"/>
    <w:rsid w:val="00315715"/>
    <w:rsid w:val="00316EFB"/>
    <w:rsid w:val="00320021"/>
    <w:rsid w:val="003214B0"/>
    <w:rsid w:val="003253AE"/>
    <w:rsid w:val="00331C1F"/>
    <w:rsid w:val="00341C3A"/>
    <w:rsid w:val="00376FA5"/>
    <w:rsid w:val="00383125"/>
    <w:rsid w:val="00386221"/>
    <w:rsid w:val="00387B6F"/>
    <w:rsid w:val="003943A3"/>
    <w:rsid w:val="003962AC"/>
    <w:rsid w:val="003A104F"/>
    <w:rsid w:val="003A7155"/>
    <w:rsid w:val="003C58B0"/>
    <w:rsid w:val="003C7E23"/>
    <w:rsid w:val="003C7FCA"/>
    <w:rsid w:val="003D3C44"/>
    <w:rsid w:val="003D5AB0"/>
    <w:rsid w:val="003E6F2C"/>
    <w:rsid w:val="003F231E"/>
    <w:rsid w:val="003F6D90"/>
    <w:rsid w:val="0040732C"/>
    <w:rsid w:val="004126E0"/>
    <w:rsid w:val="0041416F"/>
    <w:rsid w:val="004149F9"/>
    <w:rsid w:val="00416883"/>
    <w:rsid w:val="00442F01"/>
    <w:rsid w:val="00443006"/>
    <w:rsid w:val="00444E55"/>
    <w:rsid w:val="0044596C"/>
    <w:rsid w:val="00465EDA"/>
    <w:rsid w:val="004674BC"/>
    <w:rsid w:val="00467E17"/>
    <w:rsid w:val="004727DA"/>
    <w:rsid w:val="00493589"/>
    <w:rsid w:val="004966C8"/>
    <w:rsid w:val="004B2B86"/>
    <w:rsid w:val="004B7FFC"/>
    <w:rsid w:val="004C04DB"/>
    <w:rsid w:val="004C20E0"/>
    <w:rsid w:val="004D0512"/>
    <w:rsid w:val="004D0F33"/>
    <w:rsid w:val="004D6BE6"/>
    <w:rsid w:val="004E3CCB"/>
    <w:rsid w:val="004F4122"/>
    <w:rsid w:val="004F6EE3"/>
    <w:rsid w:val="00506386"/>
    <w:rsid w:val="0051329B"/>
    <w:rsid w:val="0051625E"/>
    <w:rsid w:val="00516F19"/>
    <w:rsid w:val="00520E57"/>
    <w:rsid w:val="00527B25"/>
    <w:rsid w:val="00533195"/>
    <w:rsid w:val="005337DA"/>
    <w:rsid w:val="00542A2A"/>
    <w:rsid w:val="005449A3"/>
    <w:rsid w:val="005541A9"/>
    <w:rsid w:val="00562EFB"/>
    <w:rsid w:val="005644ED"/>
    <w:rsid w:val="00570D30"/>
    <w:rsid w:val="00582AFA"/>
    <w:rsid w:val="0058389A"/>
    <w:rsid w:val="0058616C"/>
    <w:rsid w:val="005A7F2E"/>
    <w:rsid w:val="005B3EF1"/>
    <w:rsid w:val="005B6DDC"/>
    <w:rsid w:val="005D49D6"/>
    <w:rsid w:val="005E0D9A"/>
    <w:rsid w:val="005F7541"/>
    <w:rsid w:val="00607149"/>
    <w:rsid w:val="00612AAC"/>
    <w:rsid w:val="00613D21"/>
    <w:rsid w:val="00643BF8"/>
    <w:rsid w:val="00647590"/>
    <w:rsid w:val="00662652"/>
    <w:rsid w:val="006666ED"/>
    <w:rsid w:val="006725E2"/>
    <w:rsid w:val="00680A3F"/>
    <w:rsid w:val="00684FF2"/>
    <w:rsid w:val="006A14E8"/>
    <w:rsid w:val="006B5632"/>
    <w:rsid w:val="006B59BF"/>
    <w:rsid w:val="006C0D85"/>
    <w:rsid w:val="006C5732"/>
    <w:rsid w:val="006E4E21"/>
    <w:rsid w:val="006E664F"/>
    <w:rsid w:val="006E771A"/>
    <w:rsid w:val="006F0956"/>
    <w:rsid w:val="006F3FE9"/>
    <w:rsid w:val="006F77FC"/>
    <w:rsid w:val="00701023"/>
    <w:rsid w:val="00710701"/>
    <w:rsid w:val="00710A62"/>
    <w:rsid w:val="00715AEB"/>
    <w:rsid w:val="007176FD"/>
    <w:rsid w:val="00720EC2"/>
    <w:rsid w:val="0072579A"/>
    <w:rsid w:val="0072579D"/>
    <w:rsid w:val="00731962"/>
    <w:rsid w:val="0073354F"/>
    <w:rsid w:val="007374E3"/>
    <w:rsid w:val="0074170A"/>
    <w:rsid w:val="0074186D"/>
    <w:rsid w:val="007446C3"/>
    <w:rsid w:val="0075437A"/>
    <w:rsid w:val="007616B3"/>
    <w:rsid w:val="00766021"/>
    <w:rsid w:val="00780BC7"/>
    <w:rsid w:val="0078339F"/>
    <w:rsid w:val="00787F66"/>
    <w:rsid w:val="0079105B"/>
    <w:rsid w:val="007A063D"/>
    <w:rsid w:val="007B4A72"/>
    <w:rsid w:val="007C527F"/>
    <w:rsid w:val="007D3B07"/>
    <w:rsid w:val="007E295F"/>
    <w:rsid w:val="007E7EB7"/>
    <w:rsid w:val="007F6524"/>
    <w:rsid w:val="0080190A"/>
    <w:rsid w:val="00822096"/>
    <w:rsid w:val="008529AE"/>
    <w:rsid w:val="00857FEA"/>
    <w:rsid w:val="008660BE"/>
    <w:rsid w:val="00884656"/>
    <w:rsid w:val="008864F8"/>
    <w:rsid w:val="008865F3"/>
    <w:rsid w:val="0089662C"/>
    <w:rsid w:val="008A2E11"/>
    <w:rsid w:val="008A481A"/>
    <w:rsid w:val="008A6E1B"/>
    <w:rsid w:val="008B5E7E"/>
    <w:rsid w:val="008B63F2"/>
    <w:rsid w:val="008C190F"/>
    <w:rsid w:val="008D1B72"/>
    <w:rsid w:val="008D2BEA"/>
    <w:rsid w:val="008D59B0"/>
    <w:rsid w:val="008E16C6"/>
    <w:rsid w:val="008E1A9D"/>
    <w:rsid w:val="008E20DC"/>
    <w:rsid w:val="008E3A9C"/>
    <w:rsid w:val="008E6004"/>
    <w:rsid w:val="008E64C1"/>
    <w:rsid w:val="008F081E"/>
    <w:rsid w:val="0092498E"/>
    <w:rsid w:val="00926A5C"/>
    <w:rsid w:val="00926AB1"/>
    <w:rsid w:val="009462C3"/>
    <w:rsid w:val="009639C9"/>
    <w:rsid w:val="00981CF6"/>
    <w:rsid w:val="00990C3B"/>
    <w:rsid w:val="00995B7E"/>
    <w:rsid w:val="009A7B7B"/>
    <w:rsid w:val="009B01B8"/>
    <w:rsid w:val="009C002A"/>
    <w:rsid w:val="009D3E78"/>
    <w:rsid w:val="009E25C1"/>
    <w:rsid w:val="009E33D2"/>
    <w:rsid w:val="009E4EF1"/>
    <w:rsid w:val="009E7890"/>
    <w:rsid w:val="009F15C9"/>
    <w:rsid w:val="00A03C3A"/>
    <w:rsid w:val="00A07320"/>
    <w:rsid w:val="00A1356F"/>
    <w:rsid w:val="00A20C98"/>
    <w:rsid w:val="00A27C3B"/>
    <w:rsid w:val="00A3533F"/>
    <w:rsid w:val="00A41995"/>
    <w:rsid w:val="00A41D32"/>
    <w:rsid w:val="00A42B0C"/>
    <w:rsid w:val="00A464AD"/>
    <w:rsid w:val="00A53B2F"/>
    <w:rsid w:val="00A54305"/>
    <w:rsid w:val="00A569B7"/>
    <w:rsid w:val="00A6062B"/>
    <w:rsid w:val="00A70C66"/>
    <w:rsid w:val="00A848E1"/>
    <w:rsid w:val="00A8660D"/>
    <w:rsid w:val="00A948F4"/>
    <w:rsid w:val="00A94C59"/>
    <w:rsid w:val="00AA0E4E"/>
    <w:rsid w:val="00AB1CE2"/>
    <w:rsid w:val="00AB22CE"/>
    <w:rsid w:val="00AB4D15"/>
    <w:rsid w:val="00AB7357"/>
    <w:rsid w:val="00AC3A53"/>
    <w:rsid w:val="00AC71C2"/>
    <w:rsid w:val="00AD3CA2"/>
    <w:rsid w:val="00AE066B"/>
    <w:rsid w:val="00AE5F77"/>
    <w:rsid w:val="00B01198"/>
    <w:rsid w:val="00B04CAD"/>
    <w:rsid w:val="00B102D9"/>
    <w:rsid w:val="00B228DE"/>
    <w:rsid w:val="00B23E4C"/>
    <w:rsid w:val="00B309FE"/>
    <w:rsid w:val="00B37DB3"/>
    <w:rsid w:val="00B43970"/>
    <w:rsid w:val="00B4593F"/>
    <w:rsid w:val="00B536EC"/>
    <w:rsid w:val="00B55A82"/>
    <w:rsid w:val="00B70E19"/>
    <w:rsid w:val="00B8071E"/>
    <w:rsid w:val="00B87DA9"/>
    <w:rsid w:val="00B9063E"/>
    <w:rsid w:val="00B92BDC"/>
    <w:rsid w:val="00B94ECC"/>
    <w:rsid w:val="00BA2A0B"/>
    <w:rsid w:val="00BB196D"/>
    <w:rsid w:val="00BC3CFB"/>
    <w:rsid w:val="00BC6B35"/>
    <w:rsid w:val="00BC6DB8"/>
    <w:rsid w:val="00BD2092"/>
    <w:rsid w:val="00BD2595"/>
    <w:rsid w:val="00BD5B56"/>
    <w:rsid w:val="00BE209E"/>
    <w:rsid w:val="00BE39F1"/>
    <w:rsid w:val="00BF6DFB"/>
    <w:rsid w:val="00C02D93"/>
    <w:rsid w:val="00C10EE1"/>
    <w:rsid w:val="00C1125B"/>
    <w:rsid w:val="00C24EFD"/>
    <w:rsid w:val="00C26528"/>
    <w:rsid w:val="00C30318"/>
    <w:rsid w:val="00C33CDD"/>
    <w:rsid w:val="00C41157"/>
    <w:rsid w:val="00C4216A"/>
    <w:rsid w:val="00C479FB"/>
    <w:rsid w:val="00C54890"/>
    <w:rsid w:val="00C6445A"/>
    <w:rsid w:val="00C85539"/>
    <w:rsid w:val="00C9128B"/>
    <w:rsid w:val="00C959F3"/>
    <w:rsid w:val="00CA253E"/>
    <w:rsid w:val="00CB12F4"/>
    <w:rsid w:val="00CC1E78"/>
    <w:rsid w:val="00CC3CD4"/>
    <w:rsid w:val="00CC7BD1"/>
    <w:rsid w:val="00CD1C76"/>
    <w:rsid w:val="00D01552"/>
    <w:rsid w:val="00D04610"/>
    <w:rsid w:val="00D06DA6"/>
    <w:rsid w:val="00D11313"/>
    <w:rsid w:val="00D20B31"/>
    <w:rsid w:val="00D23A55"/>
    <w:rsid w:val="00D256C8"/>
    <w:rsid w:val="00D2648C"/>
    <w:rsid w:val="00D402FC"/>
    <w:rsid w:val="00D40A8C"/>
    <w:rsid w:val="00D501AB"/>
    <w:rsid w:val="00D54F6D"/>
    <w:rsid w:val="00D70DCE"/>
    <w:rsid w:val="00D710D0"/>
    <w:rsid w:val="00D819C1"/>
    <w:rsid w:val="00D9725C"/>
    <w:rsid w:val="00DA7DCE"/>
    <w:rsid w:val="00DB57E4"/>
    <w:rsid w:val="00DD093E"/>
    <w:rsid w:val="00DE749E"/>
    <w:rsid w:val="00DF12FE"/>
    <w:rsid w:val="00DF4B15"/>
    <w:rsid w:val="00DF4BEF"/>
    <w:rsid w:val="00E00742"/>
    <w:rsid w:val="00E13D7E"/>
    <w:rsid w:val="00E26844"/>
    <w:rsid w:val="00E303D2"/>
    <w:rsid w:val="00E348DF"/>
    <w:rsid w:val="00E36CB1"/>
    <w:rsid w:val="00E40902"/>
    <w:rsid w:val="00E50BB2"/>
    <w:rsid w:val="00E514E2"/>
    <w:rsid w:val="00E6008D"/>
    <w:rsid w:val="00E6101A"/>
    <w:rsid w:val="00E62F80"/>
    <w:rsid w:val="00E9017A"/>
    <w:rsid w:val="00E96CD9"/>
    <w:rsid w:val="00E9778E"/>
    <w:rsid w:val="00EA750D"/>
    <w:rsid w:val="00EC1BEA"/>
    <w:rsid w:val="00EC29B9"/>
    <w:rsid w:val="00EC38B5"/>
    <w:rsid w:val="00ED5F3A"/>
    <w:rsid w:val="00ED783D"/>
    <w:rsid w:val="00EE39DF"/>
    <w:rsid w:val="00F004D1"/>
    <w:rsid w:val="00F03D05"/>
    <w:rsid w:val="00F212DD"/>
    <w:rsid w:val="00F50565"/>
    <w:rsid w:val="00F506BB"/>
    <w:rsid w:val="00F60CFF"/>
    <w:rsid w:val="00F62001"/>
    <w:rsid w:val="00F63258"/>
    <w:rsid w:val="00F63FD1"/>
    <w:rsid w:val="00F64F1B"/>
    <w:rsid w:val="00F66D6D"/>
    <w:rsid w:val="00F72482"/>
    <w:rsid w:val="00F733F1"/>
    <w:rsid w:val="00F74E10"/>
    <w:rsid w:val="00F761FA"/>
    <w:rsid w:val="00F80B22"/>
    <w:rsid w:val="00F82235"/>
    <w:rsid w:val="00F912D5"/>
    <w:rsid w:val="00F91347"/>
    <w:rsid w:val="00F9257F"/>
    <w:rsid w:val="00FA166E"/>
    <w:rsid w:val="00FA3D5A"/>
    <w:rsid w:val="00FC2FD8"/>
    <w:rsid w:val="00FC64B1"/>
    <w:rsid w:val="00FC769D"/>
    <w:rsid w:val="00FC7775"/>
    <w:rsid w:val="00FE050A"/>
    <w:rsid w:val="00FE12EB"/>
    <w:rsid w:val="00FE1AE6"/>
    <w:rsid w:val="00FE4452"/>
    <w:rsid w:val="00FE4A30"/>
    <w:rsid w:val="00FF0387"/>
    <w:rsid w:val="00FF18B5"/>
    <w:rsid w:val="00FF1B2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B0A2E"/>
  <w15:chartTrackingRefBased/>
  <w15:docId w15:val="{398F23C3-47CA-4DA4-AF0E-0D84D69D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paragraph" w:styleId="Nadpis3">
    <w:name w:val="heading 3"/>
    <w:basedOn w:val="Normln"/>
    <w:next w:val="Normln"/>
    <w:qFormat/>
    <w:pPr>
      <w:keepNext/>
      <w:spacing w:before="240" w:after="60" w:line="360" w:lineRule="auto"/>
      <w:ind w:firstLine="709"/>
      <w:outlineLvl w:val="2"/>
    </w:pPr>
    <w:rPr>
      <w:rFonts w:ascii="Arial" w:eastAsia="Times New Roman" w:hAnsi="Arial" w:cs="Arial"/>
      <w:b/>
      <w:bCs/>
      <w:sz w:val="28"/>
      <w:szCs w:val="26"/>
      <w:u w:val="thick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styleId="Bezmezer">
    <w:name w:val="No Spacing"/>
    <w:qFormat/>
    <w:rPr>
      <w:sz w:val="22"/>
      <w:szCs w:val="22"/>
      <w:lang w:eastAsia="en-US"/>
    </w:rPr>
  </w:style>
  <w:style w:type="character" w:customStyle="1" w:styleId="Nadpis3Char">
    <w:name w:val="Nadpis 3 Char"/>
    <w:rPr>
      <w:rFonts w:ascii="Arial" w:eastAsia="Times New Roman" w:hAnsi="Arial" w:cs="Arial"/>
      <w:b/>
      <w:bCs/>
      <w:sz w:val="28"/>
      <w:szCs w:val="26"/>
      <w:u w:val="thick"/>
      <w:lang w:eastAsia="cs-CZ"/>
    </w:rPr>
  </w:style>
  <w:style w:type="paragraph" w:customStyle="1" w:styleId="Zkladntext31">
    <w:name w:val="Základní text 31"/>
    <w:basedOn w:val="Normln"/>
    <w:pPr>
      <w:overflowPunct w:val="0"/>
      <w:autoSpaceDE w:val="0"/>
      <w:autoSpaceDN w:val="0"/>
      <w:adjustRightInd w:val="0"/>
      <w:spacing w:before="120" w:after="100" w:line="360" w:lineRule="auto"/>
      <w:ind w:firstLine="709"/>
      <w:textAlignment w:val="baseline"/>
    </w:pPr>
    <w:rPr>
      <w:rFonts w:ascii="Arial" w:eastAsia="Times New Roman" w:hAnsi="Arial"/>
      <w:b/>
      <w:sz w:val="24"/>
      <w:szCs w:val="20"/>
      <w:lang w:eastAsia="cs-CZ"/>
    </w:rPr>
  </w:style>
  <w:style w:type="paragraph" w:customStyle="1" w:styleId="Podtitul">
    <w:name w:val="Podtitul"/>
    <w:basedOn w:val="Normln"/>
    <w:qFormat/>
    <w:pPr>
      <w:overflowPunct w:val="0"/>
      <w:autoSpaceDE w:val="0"/>
      <w:autoSpaceDN w:val="0"/>
      <w:adjustRightInd w:val="0"/>
      <w:spacing w:before="120" w:after="100" w:line="360" w:lineRule="auto"/>
      <w:ind w:firstLine="709"/>
      <w:jc w:val="center"/>
      <w:textAlignment w:val="baseline"/>
    </w:pPr>
    <w:rPr>
      <w:rFonts w:ascii="Arial" w:eastAsia="Times New Roman" w:hAnsi="Arial"/>
      <w:sz w:val="32"/>
      <w:szCs w:val="20"/>
      <w:lang w:eastAsia="cs-CZ"/>
    </w:rPr>
  </w:style>
  <w:style w:type="character" w:customStyle="1" w:styleId="PodtitulChar">
    <w:name w:val="Podtitul Char"/>
    <w:rPr>
      <w:rFonts w:ascii="Arial" w:eastAsia="Times New Roman" w:hAnsi="Arial" w:cs="Times New Roman"/>
      <w:sz w:val="32"/>
      <w:szCs w:val="20"/>
      <w:lang w:eastAsia="cs-CZ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before="120" w:after="100" w:line="360" w:lineRule="auto"/>
      <w:ind w:firstLine="709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Char">
    <w:name w:val="Základní text Char"/>
    <w:semiHidden/>
    <w:rPr>
      <w:rFonts w:ascii="Arial" w:eastAsia="Times New Roman" w:hAnsi="Arial" w:cs="Times New Roman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pPr>
      <w:spacing w:before="100" w:after="100" w:line="360" w:lineRule="auto"/>
      <w:jc w:val="center"/>
    </w:pPr>
    <w:rPr>
      <w:rFonts w:ascii="Arial" w:eastAsia="Times New Roman" w:hAnsi="Arial" w:cs="Arial"/>
      <w:b/>
      <w:sz w:val="40"/>
      <w:szCs w:val="48"/>
      <w:lang w:eastAsia="cs-CZ"/>
    </w:rPr>
  </w:style>
  <w:style w:type="paragraph" w:styleId="Seznam3">
    <w:name w:val="List 3"/>
    <w:basedOn w:val="Normln"/>
    <w:semiHidden/>
    <w:pPr>
      <w:spacing w:after="0"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80A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58CD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uiPriority w:val="99"/>
    <w:rsid w:val="002158CD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7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7C4D"/>
    <w:rPr>
      <w:rFonts w:ascii="Segoe UI" w:hAnsi="Segoe UI" w:cs="Segoe U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B55A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s.wikipedia.org/wiki/Okres_Jablonec_nad_Nisou" TargetMode="External"/><Relationship Id="rId5" Type="http://schemas.openxmlformats.org/officeDocument/2006/relationships/hyperlink" Target="https://cs.wikipedia.org/wiki/Libereck%C3%BD_kr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2008</TotalTime>
  <Pages>7</Pages>
  <Words>1379</Words>
  <Characters>8137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/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subject/>
  <dc:creator>Boudyš Daniel</dc:creator>
  <cp:keywords/>
  <dc:description/>
  <cp:lastModifiedBy>Szawulak Barbara</cp:lastModifiedBy>
  <cp:revision>47</cp:revision>
  <cp:lastPrinted>2019-03-06T09:10:00Z</cp:lastPrinted>
  <dcterms:created xsi:type="dcterms:W3CDTF">2019-11-04T13:03:00Z</dcterms:created>
  <dcterms:modified xsi:type="dcterms:W3CDTF">2020-04-09T10:34:00Z</dcterms:modified>
</cp:coreProperties>
</file>